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977" w:rsidRDefault="00DB7022" w:rsidP="003D33BD">
      <w:pPr>
        <w:rPr>
          <w:lang w:val="sr-Cyrl-RS"/>
        </w:rPr>
      </w:pPr>
      <w:r w:rsidRPr="00DB7022">
        <w:rPr>
          <w:b/>
          <w:lang w:val="sr-Cyrl-RS"/>
        </w:rPr>
        <w:t>Табела 9.8.</w:t>
      </w:r>
      <w:r w:rsidRPr="00DB7022">
        <w:rPr>
          <w:lang w:val="sr-Cyrl-RS"/>
        </w:rPr>
        <w:t xml:space="preserve"> </w:t>
      </w:r>
      <w:bookmarkStart w:id="0" w:name="Компетентност"/>
      <w:r w:rsidRPr="00DB7022">
        <w:rPr>
          <w:lang w:val="sr-Cyrl-RS"/>
        </w:rPr>
        <w:t>Компетентност</w:t>
      </w:r>
      <w:bookmarkEnd w:id="0"/>
      <w:r w:rsidRPr="00DB7022">
        <w:rPr>
          <w:lang w:val="sr-Cyrl-RS"/>
        </w:rPr>
        <w:t xml:space="preserve"> ментора</w:t>
      </w:r>
    </w:p>
    <w:p w:rsidR="00DB7022" w:rsidRPr="00A473B2" w:rsidRDefault="00DB7022" w:rsidP="003D33BD">
      <w:pPr>
        <w:rPr>
          <w:lang w:val="sr-Cyrl-RS"/>
        </w:rPr>
      </w:pPr>
    </w:p>
    <w:p w:rsidR="004B0977" w:rsidRDefault="00805E54" w:rsidP="004B0977">
      <w:pPr>
        <w:numPr>
          <w:ilvl w:val="0"/>
          <w:numId w:val="4"/>
        </w:numPr>
      </w:pPr>
      <w:hyperlink w:anchor="Петојевић" w:history="1">
        <w:proofErr w:type="spellStart"/>
        <w:r w:rsidR="004B0977" w:rsidRPr="009625A2">
          <w:rPr>
            <w:rStyle w:val="Hyperlink"/>
          </w:rPr>
          <w:t>Петојевић</w:t>
        </w:r>
        <w:proofErr w:type="spellEnd"/>
        <w:r w:rsidR="004B0977" w:rsidRPr="009625A2">
          <w:rPr>
            <w:rStyle w:val="Hyperlink"/>
          </w:rPr>
          <w:t xml:space="preserve"> В. </w:t>
        </w:r>
        <w:proofErr w:type="spellStart"/>
        <w:r w:rsidR="004B0977" w:rsidRPr="009625A2">
          <w:rPr>
            <w:rStyle w:val="Hyperlink"/>
          </w:rPr>
          <w:t>Александар</w:t>
        </w:r>
        <w:proofErr w:type="spellEnd"/>
      </w:hyperlink>
    </w:p>
    <w:p w:rsidR="004B0977" w:rsidRDefault="00805E54" w:rsidP="004B0977">
      <w:pPr>
        <w:numPr>
          <w:ilvl w:val="0"/>
          <w:numId w:val="4"/>
        </w:numPr>
      </w:pPr>
      <w:hyperlink w:anchor="Опарница" w:history="1">
        <w:proofErr w:type="spellStart"/>
        <w:r w:rsidR="004B0977" w:rsidRPr="009625A2">
          <w:rPr>
            <w:rStyle w:val="Hyperlink"/>
          </w:rPr>
          <w:t>Опарница</w:t>
        </w:r>
        <w:proofErr w:type="spellEnd"/>
        <w:r w:rsidR="004B0977" w:rsidRPr="009625A2">
          <w:rPr>
            <w:rStyle w:val="Hyperlink"/>
          </w:rPr>
          <w:t xml:space="preserve"> М. </w:t>
        </w:r>
        <w:proofErr w:type="spellStart"/>
        <w:r w:rsidR="004B0977" w:rsidRPr="009625A2">
          <w:rPr>
            <w:rStyle w:val="Hyperlink"/>
          </w:rPr>
          <w:t>Љубица</w:t>
        </w:r>
        <w:proofErr w:type="spellEnd"/>
      </w:hyperlink>
    </w:p>
    <w:p w:rsidR="004B0977" w:rsidRDefault="00805E54" w:rsidP="004B0977">
      <w:pPr>
        <w:numPr>
          <w:ilvl w:val="0"/>
          <w:numId w:val="4"/>
        </w:numPr>
      </w:pPr>
      <w:hyperlink w:anchor="Ранитовић" w:history="1">
        <w:proofErr w:type="spellStart"/>
        <w:r w:rsidR="004B0977" w:rsidRPr="009625A2">
          <w:rPr>
            <w:rStyle w:val="Hyperlink"/>
          </w:rPr>
          <w:t>Горјанац</w:t>
        </w:r>
        <w:proofErr w:type="spellEnd"/>
        <w:r w:rsidR="004B0977" w:rsidRPr="009625A2">
          <w:rPr>
            <w:rStyle w:val="Hyperlink"/>
          </w:rPr>
          <w:t xml:space="preserve"> </w:t>
        </w:r>
        <w:proofErr w:type="spellStart"/>
        <w:r w:rsidR="004B0977" w:rsidRPr="009625A2">
          <w:rPr>
            <w:rStyle w:val="Hyperlink"/>
          </w:rPr>
          <w:t>Ранитовић</w:t>
        </w:r>
        <w:proofErr w:type="spellEnd"/>
        <w:r w:rsidR="004B0977" w:rsidRPr="009625A2">
          <w:rPr>
            <w:rStyle w:val="Hyperlink"/>
          </w:rPr>
          <w:t xml:space="preserve"> М. </w:t>
        </w:r>
        <w:proofErr w:type="spellStart"/>
        <w:r w:rsidR="004B0977" w:rsidRPr="009625A2">
          <w:rPr>
            <w:rStyle w:val="Hyperlink"/>
          </w:rPr>
          <w:t>Маријана</w:t>
        </w:r>
        <w:proofErr w:type="spellEnd"/>
      </w:hyperlink>
    </w:p>
    <w:p w:rsidR="004B0977" w:rsidRDefault="00805E54" w:rsidP="004B0977">
      <w:pPr>
        <w:numPr>
          <w:ilvl w:val="0"/>
          <w:numId w:val="4"/>
        </w:numPr>
      </w:pPr>
      <w:hyperlink w:anchor="Лазић" w:history="1">
        <w:proofErr w:type="spellStart"/>
        <w:r w:rsidR="004B0977" w:rsidRPr="009625A2">
          <w:rPr>
            <w:rStyle w:val="Hyperlink"/>
          </w:rPr>
          <w:t>Лазић</w:t>
        </w:r>
        <w:proofErr w:type="spellEnd"/>
        <w:r w:rsidR="004B0977" w:rsidRPr="009625A2">
          <w:rPr>
            <w:rStyle w:val="Hyperlink"/>
          </w:rPr>
          <w:t xml:space="preserve"> Д. </w:t>
        </w:r>
        <w:proofErr w:type="spellStart"/>
        <w:r w:rsidR="004B0977" w:rsidRPr="009625A2">
          <w:rPr>
            <w:rStyle w:val="Hyperlink"/>
          </w:rPr>
          <w:t>Бојан</w:t>
        </w:r>
        <w:proofErr w:type="spellEnd"/>
      </w:hyperlink>
    </w:p>
    <w:p w:rsidR="004B0977" w:rsidRDefault="00805E54" w:rsidP="004B0977">
      <w:pPr>
        <w:numPr>
          <w:ilvl w:val="0"/>
          <w:numId w:val="4"/>
        </w:numPr>
      </w:pPr>
      <w:hyperlink w:anchor="Ламбић" w:history="1">
        <w:proofErr w:type="spellStart"/>
        <w:r w:rsidR="004B0977" w:rsidRPr="009625A2">
          <w:rPr>
            <w:rStyle w:val="Hyperlink"/>
          </w:rPr>
          <w:t>Ламбић</w:t>
        </w:r>
        <w:proofErr w:type="spellEnd"/>
        <w:r w:rsidR="004B0977" w:rsidRPr="009625A2">
          <w:rPr>
            <w:rStyle w:val="Hyperlink"/>
          </w:rPr>
          <w:t xml:space="preserve"> М. </w:t>
        </w:r>
        <w:proofErr w:type="spellStart"/>
        <w:r w:rsidR="004B0977" w:rsidRPr="009625A2">
          <w:rPr>
            <w:rStyle w:val="Hyperlink"/>
          </w:rPr>
          <w:t>Драган</w:t>
        </w:r>
        <w:proofErr w:type="spellEnd"/>
      </w:hyperlink>
    </w:p>
    <w:p w:rsidR="004B0977" w:rsidRDefault="00805E54" w:rsidP="004B0977">
      <w:pPr>
        <w:numPr>
          <w:ilvl w:val="0"/>
          <w:numId w:val="4"/>
        </w:numPr>
      </w:pPr>
      <w:hyperlink w:anchor="Цвјетићанин" w:history="1">
        <w:proofErr w:type="spellStart"/>
        <w:r w:rsidR="004B0977" w:rsidRPr="009625A2">
          <w:rPr>
            <w:rStyle w:val="Hyperlink"/>
          </w:rPr>
          <w:t>Цвјетићанин</w:t>
        </w:r>
        <w:proofErr w:type="spellEnd"/>
        <w:r w:rsidR="004B0977" w:rsidRPr="009625A2">
          <w:rPr>
            <w:rStyle w:val="Hyperlink"/>
          </w:rPr>
          <w:t xml:space="preserve"> М. </w:t>
        </w:r>
        <w:proofErr w:type="spellStart"/>
        <w:r w:rsidR="004B0977" w:rsidRPr="009625A2">
          <w:rPr>
            <w:rStyle w:val="Hyperlink"/>
          </w:rPr>
          <w:t>Станко</w:t>
        </w:r>
        <w:proofErr w:type="spellEnd"/>
      </w:hyperlink>
    </w:p>
    <w:p w:rsidR="004B0977" w:rsidRDefault="00805E54" w:rsidP="004B0977">
      <w:pPr>
        <w:numPr>
          <w:ilvl w:val="0"/>
          <w:numId w:val="4"/>
        </w:numPr>
      </w:pPr>
      <w:hyperlink w:anchor="Козодеровић" w:history="1">
        <w:proofErr w:type="spellStart"/>
        <w:r w:rsidR="004B0977" w:rsidRPr="009625A2">
          <w:rPr>
            <w:rStyle w:val="Hyperlink"/>
          </w:rPr>
          <w:t>Козодеровић</w:t>
        </w:r>
        <w:proofErr w:type="spellEnd"/>
        <w:r w:rsidR="004B0977" w:rsidRPr="009625A2">
          <w:rPr>
            <w:rStyle w:val="Hyperlink"/>
          </w:rPr>
          <w:t xml:space="preserve"> В. </w:t>
        </w:r>
        <w:proofErr w:type="spellStart"/>
        <w:r w:rsidR="004B0977" w:rsidRPr="009625A2">
          <w:rPr>
            <w:rStyle w:val="Hyperlink"/>
          </w:rPr>
          <w:t>Гордана</w:t>
        </w:r>
        <w:proofErr w:type="spellEnd"/>
      </w:hyperlink>
    </w:p>
    <w:p w:rsidR="004B0977" w:rsidRDefault="00805E54" w:rsidP="004B0977">
      <w:pPr>
        <w:numPr>
          <w:ilvl w:val="0"/>
          <w:numId w:val="4"/>
        </w:numPr>
      </w:pPr>
      <w:hyperlink w:anchor="Граовац" w:history="1">
        <w:proofErr w:type="spellStart"/>
        <w:r w:rsidR="004B0977" w:rsidRPr="009625A2">
          <w:rPr>
            <w:rStyle w:val="Hyperlink"/>
          </w:rPr>
          <w:t>Петровић</w:t>
        </w:r>
        <w:proofErr w:type="spellEnd"/>
        <w:r w:rsidR="004B0977" w:rsidRPr="009625A2">
          <w:rPr>
            <w:rStyle w:val="Hyperlink"/>
          </w:rPr>
          <w:t xml:space="preserve"> Р. </w:t>
        </w:r>
        <w:proofErr w:type="spellStart"/>
        <w:r w:rsidR="004B0977" w:rsidRPr="009625A2">
          <w:rPr>
            <w:rStyle w:val="Hyperlink"/>
          </w:rPr>
          <w:t>Данијела</w:t>
        </w:r>
        <w:proofErr w:type="spellEnd"/>
      </w:hyperlink>
    </w:p>
    <w:p w:rsidR="00BC20BA" w:rsidRPr="002A193B" w:rsidRDefault="00805E54" w:rsidP="004B0977">
      <w:pPr>
        <w:numPr>
          <w:ilvl w:val="0"/>
          <w:numId w:val="4"/>
        </w:numPr>
        <w:rPr>
          <w:color w:val="000000" w:themeColor="text1"/>
        </w:rPr>
      </w:pPr>
      <w:hyperlink w:anchor="ДраганЦвејић" w:history="1">
        <w:r w:rsidR="002A193B" w:rsidRPr="002A193B">
          <w:rPr>
            <w:rStyle w:val="Hyperlink"/>
            <w:lang w:val="sr-Cyrl-RS"/>
          </w:rPr>
          <w:t>Драган П. Цвејић</w:t>
        </w:r>
      </w:hyperlink>
    </w:p>
    <w:p w:rsidR="00F33F2E" w:rsidRDefault="00F33F2E"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DB7022" w:rsidRDefault="00DB7022" w:rsidP="00E36EE2">
      <w:pPr>
        <w:rPr>
          <w:sz w:val="20"/>
          <w:szCs w:val="20"/>
          <w:lang w:val="sr-Cyrl-RS"/>
        </w:rPr>
      </w:pPr>
    </w:p>
    <w:p w:rsidR="00DB7022" w:rsidRDefault="00DB7022"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DB7022" w:rsidRDefault="00DB7022" w:rsidP="00E36EE2">
      <w:pPr>
        <w:rPr>
          <w:sz w:val="20"/>
          <w:szCs w:val="20"/>
          <w:lang w:val="sr-Cyrl-RS"/>
        </w:rPr>
      </w:pPr>
    </w:p>
    <w:p w:rsidR="00DB7022" w:rsidRDefault="00DB7022" w:rsidP="00E36EE2">
      <w:pPr>
        <w:rPr>
          <w:sz w:val="20"/>
          <w:szCs w:val="20"/>
          <w:lang w:val="sr-Cyrl-RS"/>
        </w:rPr>
      </w:pPr>
    </w:p>
    <w:p w:rsidR="00DB7022" w:rsidRDefault="00DB7022" w:rsidP="00E36EE2">
      <w:pPr>
        <w:rPr>
          <w:sz w:val="20"/>
          <w:szCs w:val="20"/>
          <w:lang w:val="sr-Cyrl-RS"/>
        </w:rPr>
      </w:pPr>
    </w:p>
    <w:p w:rsidR="00DB7022" w:rsidRDefault="00DB7022"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F25B3D" w:rsidRDefault="00F25B3D"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89"/>
        <w:gridCol w:w="1763"/>
        <w:gridCol w:w="1228"/>
        <w:gridCol w:w="209"/>
        <w:gridCol w:w="849"/>
        <w:gridCol w:w="1856"/>
        <w:gridCol w:w="478"/>
        <w:gridCol w:w="187"/>
        <w:gridCol w:w="1023"/>
        <w:gridCol w:w="778"/>
        <w:gridCol w:w="923"/>
      </w:tblGrid>
      <w:tr w:rsidR="004B0977" w:rsidRPr="004B0977" w:rsidTr="002B42F1">
        <w:trPr>
          <w:trHeight w:val="227"/>
        </w:trPr>
        <w:tc>
          <w:tcPr>
            <w:tcW w:w="3621" w:type="dxa"/>
            <w:gridSpan w:val="4"/>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lastRenderedPageBreak/>
              <w:t>Име и презиме</w:t>
            </w:r>
          </w:p>
        </w:tc>
        <w:tc>
          <w:tcPr>
            <w:tcW w:w="6303" w:type="dxa"/>
            <w:gridSpan w:val="8"/>
            <w:tcBorders>
              <w:top w:val="single" w:sz="4" w:space="0" w:color="auto"/>
              <w:left w:val="single" w:sz="4" w:space="0" w:color="auto"/>
              <w:bottom w:val="single" w:sz="4" w:space="0" w:color="auto"/>
              <w:right w:val="single" w:sz="4" w:space="0" w:color="auto"/>
            </w:tcBorders>
            <w:vAlign w:val="bottom"/>
            <w:hideMark/>
          </w:tcPr>
          <w:p w:rsidR="004B0977" w:rsidRPr="004B0977" w:rsidRDefault="004B0977" w:rsidP="004B0977">
            <w:pPr>
              <w:widowControl w:val="0"/>
              <w:autoSpaceDE w:val="0"/>
              <w:autoSpaceDN w:val="0"/>
              <w:adjustRightInd w:val="0"/>
              <w:rPr>
                <w:rFonts w:eastAsia="Times New Roman"/>
                <w:sz w:val="20"/>
                <w:szCs w:val="20"/>
                <w:lang w:val="sr-Cyrl-RS" w:eastAsia="sr-Latn-CS"/>
              </w:rPr>
            </w:pPr>
            <w:r w:rsidRPr="004B0977">
              <w:rPr>
                <w:rFonts w:eastAsia="Times New Roman"/>
                <w:sz w:val="20"/>
                <w:szCs w:val="20"/>
                <w:lang w:val="sr-Latn-RS" w:eastAsia="sr-Latn-CS"/>
              </w:rPr>
              <w:t>Александар</w:t>
            </w:r>
            <w:r w:rsidRPr="004B0977">
              <w:rPr>
                <w:rFonts w:eastAsia="Times New Roman"/>
                <w:sz w:val="20"/>
                <w:szCs w:val="20"/>
                <w:lang w:val="sr-Cyrl-RS" w:eastAsia="sr-Latn-CS"/>
              </w:rPr>
              <w:t xml:space="preserve"> </w:t>
            </w:r>
            <w:bookmarkStart w:id="1" w:name="Петојевић"/>
            <w:r w:rsidRPr="004B0977">
              <w:rPr>
                <w:rFonts w:eastAsia="Times New Roman"/>
                <w:sz w:val="20"/>
                <w:szCs w:val="20"/>
                <w:lang w:val="sr-Cyrl-RS" w:eastAsia="sr-Latn-CS"/>
              </w:rPr>
              <w:t>Петојевић</w:t>
            </w:r>
            <w:bookmarkEnd w:id="1"/>
          </w:p>
        </w:tc>
      </w:tr>
      <w:tr w:rsidR="004B0977" w:rsidRPr="004B0977" w:rsidTr="002B42F1">
        <w:trPr>
          <w:trHeight w:val="227"/>
        </w:trPr>
        <w:tc>
          <w:tcPr>
            <w:tcW w:w="3621" w:type="dxa"/>
            <w:gridSpan w:val="4"/>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Звање</w:t>
            </w:r>
          </w:p>
        </w:tc>
        <w:tc>
          <w:tcPr>
            <w:tcW w:w="6303" w:type="dxa"/>
            <w:gridSpan w:val="8"/>
            <w:tcBorders>
              <w:top w:val="single" w:sz="4" w:space="0" w:color="auto"/>
              <w:left w:val="single" w:sz="4" w:space="0" w:color="auto"/>
              <w:bottom w:val="single" w:sz="4" w:space="0" w:color="auto"/>
              <w:right w:val="single" w:sz="4" w:space="0" w:color="auto"/>
            </w:tcBorders>
            <w:vAlign w:val="bottom"/>
            <w:hideMark/>
          </w:tcPr>
          <w:p w:rsidR="004B0977" w:rsidRPr="004B0977" w:rsidRDefault="004B0977"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Редовни професор</w:t>
            </w:r>
          </w:p>
        </w:tc>
      </w:tr>
      <w:tr w:rsidR="004B0977" w:rsidRPr="004B0977" w:rsidTr="002B42F1">
        <w:trPr>
          <w:trHeight w:val="227"/>
        </w:trPr>
        <w:tc>
          <w:tcPr>
            <w:tcW w:w="3621" w:type="dxa"/>
            <w:gridSpan w:val="4"/>
            <w:tcBorders>
              <w:top w:val="single" w:sz="4" w:space="0" w:color="auto"/>
              <w:left w:val="single" w:sz="4" w:space="0" w:color="auto"/>
              <w:bottom w:val="single" w:sz="4" w:space="0" w:color="auto"/>
              <w:right w:val="single" w:sz="4" w:space="0" w:color="auto"/>
            </w:tcBorders>
            <w:vAlign w:val="center"/>
            <w:hideMark/>
          </w:tcPr>
          <w:p w:rsidR="004B0977" w:rsidRPr="004B0977" w:rsidRDefault="007047C2" w:rsidP="00DB7022">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Ужа научна, уметничка односно стручна  област</w:t>
            </w:r>
          </w:p>
        </w:tc>
        <w:tc>
          <w:tcPr>
            <w:tcW w:w="6303" w:type="dxa"/>
            <w:gridSpan w:val="8"/>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DB7022">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4B0977" w:rsidRPr="004B0977" w:rsidTr="0091409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Академска каријера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Година </w:t>
            </w:r>
          </w:p>
        </w:tc>
        <w:tc>
          <w:tcPr>
            <w:tcW w:w="3579" w:type="dxa"/>
            <w:gridSpan w:val="5"/>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Институција </w:t>
            </w:r>
          </w:p>
        </w:tc>
        <w:tc>
          <w:tcPr>
            <w:tcW w:w="2724"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7047C2" w:rsidP="004B0977">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4B0977" w:rsidRPr="004B0977" w:rsidTr="0091409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Избор у звање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2009.</w:t>
            </w:r>
          </w:p>
        </w:tc>
        <w:tc>
          <w:tcPr>
            <w:tcW w:w="3579" w:type="dxa"/>
            <w:gridSpan w:val="5"/>
            <w:tcBorders>
              <w:top w:val="single" w:sz="4" w:space="0" w:color="auto"/>
              <w:left w:val="single" w:sz="4" w:space="0" w:color="auto"/>
              <w:bottom w:val="single" w:sz="4" w:space="0" w:color="auto"/>
              <w:right w:val="single" w:sz="4" w:space="0" w:color="auto"/>
            </w:tcBorders>
            <w:hideMark/>
          </w:tcPr>
          <w:p w:rsidR="004B0977" w:rsidRPr="00914094" w:rsidRDefault="004B0977" w:rsidP="00914094">
            <w:pPr>
              <w:widowControl w:val="0"/>
              <w:autoSpaceDE w:val="0"/>
              <w:autoSpaceDN w:val="0"/>
              <w:adjustRightInd w:val="0"/>
              <w:rPr>
                <w:rFonts w:eastAsia="Times New Roman"/>
                <w:sz w:val="20"/>
                <w:szCs w:val="20"/>
                <w:lang w:val="sr-Cyrl-RS" w:eastAsia="sr-Latn-CS"/>
              </w:rPr>
            </w:pPr>
            <w:r w:rsidRPr="004B0977">
              <w:rPr>
                <w:rFonts w:eastAsia="Times New Roman"/>
                <w:sz w:val="20"/>
                <w:szCs w:val="20"/>
                <w:lang w:val="sr-Latn-RS" w:eastAsia="sr-Latn-CS"/>
              </w:rPr>
              <w:t>Педагошки факултет у Сомбору</w:t>
            </w:r>
            <w:r w:rsidR="002B42F1">
              <w:rPr>
                <w:rFonts w:eastAsia="Times New Roman"/>
                <w:sz w:val="20"/>
                <w:szCs w:val="20"/>
                <w:lang w:val="sr-Latn-RS" w:eastAsia="sr-Latn-CS"/>
              </w:rPr>
              <w:t>,</w:t>
            </w:r>
            <w:r w:rsidRPr="004B0977">
              <w:rPr>
                <w:rFonts w:eastAsia="Times New Roman"/>
                <w:sz w:val="20"/>
                <w:szCs w:val="20"/>
                <w:lang w:val="sr-Latn-RS" w:eastAsia="sr-Latn-CS"/>
              </w:rPr>
              <w:br/>
              <w:t xml:space="preserve">Унивезитет </w:t>
            </w:r>
            <w:r w:rsidR="00914094">
              <w:rPr>
                <w:rFonts w:eastAsia="Times New Roman"/>
                <w:sz w:val="20"/>
                <w:szCs w:val="20"/>
                <w:lang w:val="sr-Cyrl-RS" w:eastAsia="sr-Latn-CS"/>
              </w:rPr>
              <w:t xml:space="preserve"> </w:t>
            </w:r>
            <w:r w:rsidR="00914094">
              <w:rPr>
                <w:rFonts w:eastAsia="Times New Roman"/>
                <w:sz w:val="20"/>
                <w:szCs w:val="20"/>
                <w:lang w:val="sr-Latn-RS" w:eastAsia="sr-Latn-CS"/>
              </w:rPr>
              <w:t>Нов</w:t>
            </w:r>
            <w:r w:rsidR="00914094">
              <w:rPr>
                <w:rFonts w:eastAsia="Times New Roman"/>
                <w:sz w:val="20"/>
                <w:szCs w:val="20"/>
                <w:lang w:val="sr-Cyrl-RS" w:eastAsia="sr-Latn-CS"/>
              </w:rPr>
              <w:t>и</w:t>
            </w:r>
            <w:r w:rsidRPr="004B0977">
              <w:rPr>
                <w:rFonts w:eastAsia="Times New Roman"/>
                <w:sz w:val="20"/>
                <w:szCs w:val="20"/>
                <w:lang w:val="sr-Latn-RS" w:eastAsia="sr-Latn-CS"/>
              </w:rPr>
              <w:t xml:space="preserve"> Сад</w:t>
            </w:r>
          </w:p>
        </w:tc>
        <w:tc>
          <w:tcPr>
            <w:tcW w:w="2724"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DB7022">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4B0977" w:rsidRPr="004B0977" w:rsidTr="0091409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Докторат</w:t>
            </w:r>
          </w:p>
        </w:tc>
        <w:tc>
          <w:tcPr>
            <w:tcW w:w="1228" w:type="dxa"/>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1998.</w:t>
            </w:r>
          </w:p>
        </w:tc>
        <w:tc>
          <w:tcPr>
            <w:tcW w:w="3579" w:type="dxa"/>
            <w:gridSpan w:val="5"/>
            <w:tcBorders>
              <w:top w:val="single" w:sz="4" w:space="0" w:color="auto"/>
              <w:left w:val="single" w:sz="4" w:space="0" w:color="auto"/>
              <w:bottom w:val="single" w:sz="4" w:space="0" w:color="auto"/>
              <w:right w:val="single" w:sz="4" w:space="0" w:color="auto"/>
            </w:tcBorders>
            <w:vAlign w:val="bottom"/>
            <w:hideMark/>
          </w:tcPr>
          <w:p w:rsidR="004B0977" w:rsidRPr="004B0977" w:rsidRDefault="004B0977"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ПМФ Приштина</w:t>
            </w:r>
            <w:r w:rsidR="002B42F1">
              <w:rPr>
                <w:rFonts w:eastAsia="Times New Roman"/>
                <w:sz w:val="20"/>
                <w:szCs w:val="20"/>
                <w:lang w:val="sr-Latn-RS" w:eastAsia="sr-Latn-CS"/>
              </w:rPr>
              <w:t>,</w:t>
            </w:r>
            <w:r w:rsidRPr="004B0977">
              <w:rPr>
                <w:rFonts w:eastAsia="Times New Roman"/>
                <w:sz w:val="20"/>
                <w:szCs w:val="20"/>
                <w:lang w:val="sr-Latn-RS" w:eastAsia="sr-Latn-CS"/>
              </w:rPr>
              <w:t xml:space="preserve"> Унивезитет Приштина</w:t>
            </w:r>
          </w:p>
        </w:tc>
        <w:tc>
          <w:tcPr>
            <w:tcW w:w="2724"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DB7022">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2351C4" w:rsidRPr="004B0977" w:rsidTr="00041DE0">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tcPr>
          <w:p w:rsidR="002351C4" w:rsidRPr="003814D5" w:rsidRDefault="002351C4" w:rsidP="00365FD3">
            <w:pPr>
              <w:widowControl w:val="0"/>
              <w:tabs>
                <w:tab w:val="left" w:pos="567"/>
              </w:tabs>
              <w:autoSpaceDE w:val="0"/>
              <w:autoSpaceDN w:val="0"/>
              <w:adjustRightInd w:val="0"/>
              <w:rPr>
                <w:rFonts w:eastAsia="Times New Roman"/>
                <w:sz w:val="20"/>
                <w:szCs w:val="20"/>
                <w:lang w:val="sr-Cyrl-CS" w:eastAsia="sr-Latn-CS"/>
              </w:rPr>
            </w:pPr>
            <w:r>
              <w:rPr>
                <w:rFonts w:eastAsia="Times New Roman"/>
                <w:sz w:val="20"/>
                <w:szCs w:val="20"/>
                <w:lang w:val="sr-Cyrl-CS" w:eastAsia="sr-Latn-CS"/>
              </w:rPr>
              <w:t>Магистратура</w:t>
            </w:r>
          </w:p>
        </w:tc>
        <w:tc>
          <w:tcPr>
            <w:tcW w:w="1228" w:type="dxa"/>
            <w:tcBorders>
              <w:top w:val="single" w:sz="4" w:space="0" w:color="auto"/>
              <w:left w:val="single" w:sz="4" w:space="0" w:color="auto"/>
              <w:bottom w:val="single" w:sz="4" w:space="0" w:color="auto"/>
              <w:right w:val="single" w:sz="4" w:space="0" w:color="auto"/>
            </w:tcBorders>
            <w:vAlign w:val="center"/>
          </w:tcPr>
          <w:p w:rsidR="002351C4" w:rsidRPr="00276377" w:rsidRDefault="002351C4" w:rsidP="00365FD3">
            <w:pPr>
              <w:widowControl w:val="0"/>
              <w:autoSpaceDE w:val="0"/>
              <w:autoSpaceDN w:val="0"/>
              <w:adjustRightInd w:val="0"/>
              <w:rPr>
                <w:rFonts w:eastAsia="Times New Roman"/>
                <w:sz w:val="20"/>
                <w:szCs w:val="20"/>
                <w:lang w:val="sr-Cyrl-RS" w:eastAsia="sr-Latn-CS"/>
              </w:rPr>
            </w:pPr>
            <w:r>
              <w:rPr>
                <w:rFonts w:eastAsia="Times New Roman"/>
                <w:sz w:val="20"/>
                <w:szCs w:val="20"/>
                <w:lang w:val="sr-Cyrl-RS" w:eastAsia="sr-Latn-CS"/>
              </w:rPr>
              <w:t>1993.</w:t>
            </w:r>
          </w:p>
        </w:tc>
        <w:tc>
          <w:tcPr>
            <w:tcW w:w="3579" w:type="dxa"/>
            <w:gridSpan w:val="5"/>
            <w:tcBorders>
              <w:top w:val="single" w:sz="4" w:space="0" w:color="auto"/>
              <w:left w:val="single" w:sz="4" w:space="0" w:color="auto"/>
              <w:bottom w:val="single" w:sz="4" w:space="0" w:color="auto"/>
              <w:right w:val="single" w:sz="4" w:space="0" w:color="auto"/>
            </w:tcBorders>
          </w:tcPr>
          <w:p w:rsidR="002351C4" w:rsidRPr="003814D5" w:rsidRDefault="002351C4" w:rsidP="00365FD3">
            <w:pPr>
              <w:widowControl w:val="0"/>
              <w:autoSpaceDE w:val="0"/>
              <w:autoSpaceDN w:val="0"/>
              <w:adjustRightInd w:val="0"/>
              <w:rPr>
                <w:rFonts w:eastAsia="Times New Roman"/>
                <w:sz w:val="20"/>
                <w:szCs w:val="20"/>
                <w:lang w:val="sr-Latn-CS" w:eastAsia="sr-Latn-CS"/>
              </w:rPr>
            </w:pPr>
            <w:r w:rsidRPr="003814D5">
              <w:rPr>
                <w:rFonts w:eastAsia="Times New Roman"/>
                <w:sz w:val="20"/>
                <w:szCs w:val="20"/>
                <w:lang w:val="sr-Latn-CS" w:eastAsia="sr-Latn-CS"/>
              </w:rPr>
              <w:t>ПМФ Нови Сад</w:t>
            </w:r>
            <w:r>
              <w:rPr>
                <w:rFonts w:eastAsia="Times New Roman"/>
                <w:sz w:val="20"/>
                <w:szCs w:val="20"/>
                <w:lang w:val="sr-Cyrl-RS" w:eastAsia="sr-Latn-CS"/>
              </w:rPr>
              <w:t>,</w:t>
            </w:r>
            <w:r w:rsidRPr="003814D5">
              <w:rPr>
                <w:rFonts w:eastAsia="Times New Roman"/>
                <w:sz w:val="20"/>
                <w:szCs w:val="20"/>
                <w:lang w:val="sr-Latn-CS" w:eastAsia="sr-Latn-CS"/>
              </w:rPr>
              <w:t xml:space="preserve"> Унивезитет Нови Сад</w:t>
            </w:r>
          </w:p>
        </w:tc>
        <w:tc>
          <w:tcPr>
            <w:tcW w:w="2724" w:type="dxa"/>
            <w:gridSpan w:val="3"/>
            <w:tcBorders>
              <w:top w:val="single" w:sz="4" w:space="0" w:color="auto"/>
              <w:left w:val="single" w:sz="4" w:space="0" w:color="auto"/>
              <w:bottom w:val="single" w:sz="4" w:space="0" w:color="auto"/>
              <w:right w:val="single" w:sz="4" w:space="0" w:color="auto"/>
            </w:tcBorders>
            <w:vAlign w:val="center"/>
          </w:tcPr>
          <w:p w:rsidR="002351C4" w:rsidRPr="004B0977" w:rsidRDefault="002351C4" w:rsidP="00365FD3">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2351C4" w:rsidRPr="004B0977" w:rsidTr="0091409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Диплома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1991.</w:t>
            </w:r>
          </w:p>
        </w:tc>
        <w:tc>
          <w:tcPr>
            <w:tcW w:w="3579" w:type="dxa"/>
            <w:gridSpan w:val="5"/>
            <w:tcBorders>
              <w:top w:val="single" w:sz="4" w:space="0" w:color="auto"/>
              <w:left w:val="single" w:sz="4" w:space="0" w:color="auto"/>
              <w:bottom w:val="single" w:sz="4" w:space="0" w:color="auto"/>
              <w:right w:val="single" w:sz="4" w:space="0" w:color="auto"/>
            </w:tcBorders>
            <w:vAlign w:val="bottom"/>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ПМФ Нови Сад</w:t>
            </w:r>
            <w:r>
              <w:rPr>
                <w:rFonts w:eastAsia="Times New Roman"/>
                <w:sz w:val="20"/>
                <w:szCs w:val="20"/>
                <w:lang w:val="sr-Cyrl-RS" w:eastAsia="sr-Latn-CS"/>
              </w:rPr>
              <w:t>,</w:t>
            </w:r>
            <w:r w:rsidRPr="004B0977">
              <w:rPr>
                <w:rFonts w:eastAsia="Times New Roman"/>
                <w:sz w:val="20"/>
                <w:szCs w:val="20"/>
                <w:lang w:val="sr-Latn-RS" w:eastAsia="sr-Latn-CS"/>
              </w:rPr>
              <w:t xml:space="preserve"> Унивезитет Нови Сад</w:t>
            </w:r>
          </w:p>
        </w:tc>
        <w:tc>
          <w:tcPr>
            <w:tcW w:w="2724"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914094">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2351C4" w:rsidRPr="004B0977"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2351C4" w:rsidRPr="004B0977" w:rsidTr="00B85A64">
        <w:trPr>
          <w:trHeight w:val="227"/>
        </w:trPr>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Р.Б.</w:t>
            </w:r>
          </w:p>
        </w:tc>
        <w:tc>
          <w:tcPr>
            <w:tcW w:w="3200"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Наслов дисертације</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Име кандидата</w:t>
            </w:r>
          </w:p>
        </w:tc>
        <w:tc>
          <w:tcPr>
            <w:tcW w:w="1688"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*пријављена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одбрањена</w:t>
            </w:r>
          </w:p>
        </w:tc>
      </w:tr>
      <w:tr w:rsidR="002351C4" w:rsidRPr="004B0977" w:rsidTr="00B85A64">
        <w:trPr>
          <w:trHeight w:val="227"/>
        </w:trPr>
        <w:tc>
          <w:tcPr>
            <w:tcW w:w="630" w:type="dxa"/>
            <w:gridSpan w:val="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3200" w:type="dxa"/>
            <w:gridSpan w:val="3"/>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r>
      <w:tr w:rsidR="002351C4" w:rsidRPr="002B42F1"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2B42F1" w:rsidRDefault="002351C4" w:rsidP="004B0977">
            <w:pPr>
              <w:widowControl w:val="0"/>
              <w:tabs>
                <w:tab w:val="left" w:pos="567"/>
              </w:tabs>
              <w:autoSpaceDE w:val="0"/>
              <w:autoSpaceDN w:val="0"/>
              <w:adjustRightInd w:val="0"/>
              <w:spacing w:after="60"/>
              <w:rPr>
                <w:rFonts w:eastAsia="Times New Roman"/>
                <w:sz w:val="16"/>
                <w:szCs w:val="16"/>
                <w:lang w:val="sr-Cyrl-CS" w:eastAsia="sr-Latn-CS"/>
              </w:rPr>
            </w:pPr>
            <w:r w:rsidRPr="002B42F1">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2351C4" w:rsidRPr="00914094"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914094" w:rsidRDefault="002351C4" w:rsidP="007047C2">
            <w:pPr>
              <w:widowControl w:val="0"/>
              <w:tabs>
                <w:tab w:val="left" w:pos="567"/>
              </w:tabs>
              <w:autoSpaceDE w:val="0"/>
              <w:autoSpaceDN w:val="0"/>
              <w:adjustRightInd w:val="0"/>
              <w:spacing w:after="60"/>
              <w:rPr>
                <w:rFonts w:eastAsia="Times New Roman"/>
                <w:b/>
                <w:sz w:val="16"/>
                <w:szCs w:val="16"/>
                <w:lang w:val="sr-Latn-CS" w:eastAsia="sr-Latn-CS"/>
              </w:rPr>
            </w:pPr>
            <w:r w:rsidRPr="0091409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2351C4" w:rsidRPr="00914094" w:rsidRDefault="002351C4" w:rsidP="007047C2">
            <w:pPr>
              <w:widowControl w:val="0"/>
              <w:tabs>
                <w:tab w:val="left" w:pos="567"/>
              </w:tabs>
              <w:autoSpaceDE w:val="0"/>
              <w:autoSpaceDN w:val="0"/>
              <w:adjustRightInd w:val="0"/>
              <w:spacing w:after="60"/>
              <w:rPr>
                <w:rFonts w:eastAsia="Times New Roman"/>
                <w:b/>
                <w:sz w:val="16"/>
                <w:szCs w:val="16"/>
                <w:lang w:val="sr-Cyrl-CS" w:eastAsia="sr-Latn-CS"/>
              </w:rPr>
            </w:pPr>
            <w:r w:rsidRPr="0091409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1.</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B. Miljković, M.R. Žižović, A. Petojević, N. Damljanović, New weighted sum model,, FILOMAT 31:10, (2017), 2991 - 2998,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M22</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2.</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M. Gorjanac Ranitović , A. Petojević,  Lattice representations of interval-valued fuzzy sets, Fuzzy Sets and Systems,  Vol. 236, 50-57, (2014)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M21a</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3.</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D. Djurčić, M. Žižović, A. Petojević, Note on selection principles of Kocinac, FILOMAT 26:6, (2012) , 1291-1295,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M23</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4.</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A. Petojević, H. M. Srivastava, Computation of Euler’s Type Sums of the Products of Bernoulli Numbers, Appl. Math. Lett., 22 (2009), 796-801.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M22</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5.</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A. Petojević, H. M. Srivastava, Computation of the Mordell-Tornheim Zeta Values, Proc. Amer. Math. Soc.,  136 (2008), 2719-2728.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M22</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6.</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A. Petojević, New Sums of Products of Bernoulli numbers, Integral Transform. Spec. Funct., Vol. 19, No. 2,  (2008), 105- 114.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M22</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7.</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B.D. Miljković, A.V. Petojević, M.R. Žižović, On-line Student Emotion Monitoring as a Model of Increasing Distance Learning Systems Efficiency, The New Educational Review, Vol. 47. No. 1, (2017),  225- 240 .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M24</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8.</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N. Branković, A. Petojević, J. Lazić, Progress in student achievement as an indicator of school effectiveness, Industrija,  Vol. 40, No. 1, (2012) ,  83-102.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M24</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9.</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S. Cvjetićanin, N. Branković, A. Petojević, Possible directions in the strategy of continuous education of primary teachers, Industrija , Vol. 40, No. 3, (2012), 129-146 p.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M24</w:t>
            </w:r>
          </w:p>
        </w:tc>
      </w:tr>
      <w:tr w:rsidR="002351C4" w:rsidRPr="004B0977" w:rsidTr="002B42F1">
        <w:trPr>
          <w:trHeight w:val="227"/>
        </w:trPr>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10.</w:t>
            </w:r>
          </w:p>
        </w:tc>
        <w:tc>
          <w:tcPr>
            <w:tcW w:w="8460" w:type="dxa"/>
            <w:gridSpan w:val="10"/>
            <w:tcBorders>
              <w:top w:val="single" w:sz="4" w:space="0" w:color="auto"/>
              <w:left w:val="single" w:sz="4" w:space="0" w:color="auto"/>
              <w:bottom w:val="single" w:sz="4" w:space="0" w:color="auto"/>
              <w:right w:val="single" w:sz="4" w:space="0" w:color="auto"/>
            </w:tcBorders>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G.Kurel, N.Lukić, A.Petojević, Konceptualni model informacionog sistema Pedagoškog fakulteta : Informacioni podsistemi studentske službe, Pedagogija, Vol. 67, br. 1, (2012),  53-61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М51</w:t>
            </w:r>
          </w:p>
        </w:tc>
      </w:tr>
      <w:tr w:rsidR="002351C4" w:rsidRPr="004B0977" w:rsidTr="002B42F1">
        <w:tc>
          <w:tcPr>
            <w:tcW w:w="541"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11.</w:t>
            </w:r>
          </w:p>
        </w:tc>
        <w:tc>
          <w:tcPr>
            <w:tcW w:w="8460" w:type="dxa"/>
            <w:gridSpan w:val="10"/>
            <w:tcBorders>
              <w:top w:val="single" w:sz="4" w:space="0" w:color="auto"/>
              <w:left w:val="single" w:sz="4" w:space="0" w:color="auto"/>
              <w:bottom w:val="single" w:sz="4" w:space="0" w:color="auto"/>
              <w:right w:val="single" w:sz="4" w:space="0" w:color="auto"/>
            </w:tcBorders>
            <w:vAlign w:val="bottom"/>
            <w:hideMark/>
          </w:tcPr>
          <w:p w:rsidR="002351C4" w:rsidRPr="004B0977" w:rsidRDefault="002351C4" w:rsidP="004B0977">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 xml:space="preserve">Б.Д.Миљковић, М.Жижовић, А.Петојевић, Праћење утицаја мотивације на процес апсолвирања знања и вештина у систему учења на даљину, Војно технички гласник/Military Technical Courier, Вол.64 Но.4 (2016), 1009-1032. </w:t>
            </w:r>
          </w:p>
        </w:tc>
        <w:tc>
          <w:tcPr>
            <w:tcW w:w="923"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М51</w:t>
            </w:r>
          </w:p>
        </w:tc>
      </w:tr>
      <w:tr w:rsidR="002351C4" w:rsidRPr="004B0977" w:rsidTr="002B42F1">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Збирни подаци научне активност наставника</w:t>
            </w:r>
          </w:p>
        </w:tc>
      </w:tr>
      <w:tr w:rsidR="002351C4" w:rsidRPr="004B0977" w:rsidTr="002B42F1">
        <w:tc>
          <w:tcPr>
            <w:tcW w:w="9924" w:type="dxa"/>
            <w:gridSpan w:val="1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b/>
                <w:sz w:val="20"/>
                <w:szCs w:val="20"/>
                <w:lang w:val="sr-Cyrl-CS" w:eastAsia="sr-Latn-CS"/>
              </w:rPr>
            </w:pPr>
            <w:r w:rsidRPr="007047C2">
              <w:rPr>
                <w:rFonts w:eastAsia="Times New Roman"/>
                <w:b/>
                <w:sz w:val="20"/>
                <w:szCs w:val="20"/>
                <w:lang w:val="sr-Cyrl-CS" w:eastAsia="sr-Latn-CS"/>
              </w:rPr>
              <w:t>Збирни подаци уметничке  активност наставника</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Укупан број цитата, без аутоцитата</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51</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Укупан број радова са SCI (или SSCI) листе</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eastAsia="sr-Latn-CS"/>
              </w:rPr>
              <w:t>7</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Тренутно учешће на пројектима</w:t>
            </w:r>
          </w:p>
        </w:tc>
        <w:tc>
          <w:tcPr>
            <w:tcW w:w="2334"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914094">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val="sr-Cyrl-CS" w:eastAsia="sr-Latn-CS"/>
              </w:rPr>
              <w:t>Домаћи</w:t>
            </w:r>
            <w:r>
              <w:rPr>
                <w:rFonts w:eastAsia="Times New Roman"/>
                <w:sz w:val="20"/>
                <w:szCs w:val="20"/>
                <w:lang w:val="sr-Cyrl-CS" w:eastAsia="sr-Latn-CS"/>
              </w:rPr>
              <w:t xml:space="preserve">: </w:t>
            </w:r>
            <w:r w:rsidRPr="004B0977">
              <w:rPr>
                <w:rFonts w:eastAsia="Times New Roman"/>
                <w:sz w:val="20"/>
                <w:szCs w:val="20"/>
                <w:lang w:eastAsia="sr-Latn-CS"/>
              </w:rPr>
              <w:t>3</w:t>
            </w:r>
          </w:p>
        </w:tc>
        <w:tc>
          <w:tcPr>
            <w:tcW w:w="2911" w:type="dxa"/>
            <w:gridSpan w:val="4"/>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914094">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Међународни: -</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Усавршавања </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r>
      <w:tr w:rsidR="002351C4" w:rsidRPr="004B0977" w:rsidTr="002B42F1">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Други подаци које сматрате релевантним</w:t>
            </w: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p w:rsidR="004B0977" w:rsidRDefault="004B0977" w:rsidP="00E36EE2">
      <w:pPr>
        <w:rPr>
          <w:sz w:val="20"/>
          <w:szCs w:val="20"/>
          <w:lang w:val="sr-Cyrl-RS"/>
        </w:rPr>
      </w:pPr>
    </w:p>
    <w:tbl>
      <w:tblPr>
        <w:tblW w:w="990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3"/>
        <w:gridCol w:w="24"/>
        <w:gridCol w:w="1622"/>
        <w:gridCol w:w="1154"/>
        <w:gridCol w:w="190"/>
        <w:gridCol w:w="756"/>
        <w:gridCol w:w="1640"/>
        <w:gridCol w:w="463"/>
        <w:gridCol w:w="178"/>
        <w:gridCol w:w="971"/>
        <w:gridCol w:w="1639"/>
        <w:gridCol w:w="720"/>
      </w:tblGrid>
      <w:tr w:rsidR="000538EE" w:rsidRPr="000538EE" w:rsidTr="000538EE">
        <w:trPr>
          <w:trHeight w:val="227"/>
        </w:trPr>
        <w:tc>
          <w:tcPr>
            <w:tcW w:w="3343" w:type="dxa"/>
            <w:gridSpan w:val="4"/>
            <w:tcBorders>
              <w:top w:val="single" w:sz="4" w:space="0" w:color="00000A"/>
              <w:left w:val="single" w:sz="4" w:space="0" w:color="00000A"/>
              <w:bottom w:val="single" w:sz="4" w:space="0" w:color="00000A"/>
              <w:right w:val="single" w:sz="4" w:space="0" w:color="00000A"/>
            </w:tcBorders>
            <w:vAlign w:val="center"/>
            <w:hideMark/>
          </w:tcPr>
          <w:p w:rsidR="000538EE" w:rsidRPr="000538EE" w:rsidRDefault="000538EE" w:rsidP="000538EE">
            <w:pPr>
              <w:widowControl w:val="0"/>
              <w:tabs>
                <w:tab w:val="left" w:pos="567"/>
              </w:tabs>
              <w:suppressAutoHyphens/>
              <w:spacing w:after="60" w:line="276" w:lineRule="auto"/>
              <w:rPr>
                <w:rFonts w:eastAsia="Times New Roman"/>
                <w:b/>
                <w:sz w:val="20"/>
                <w:szCs w:val="20"/>
                <w:lang w:val="sr-Latn-RS" w:eastAsia="sr-Latn-CS"/>
              </w:rPr>
            </w:pPr>
            <w:r w:rsidRPr="000538EE">
              <w:rPr>
                <w:rFonts w:eastAsia="Times New Roman"/>
                <w:b/>
                <w:sz w:val="20"/>
                <w:szCs w:val="20"/>
                <w:lang w:val="sr-Latn-RS" w:eastAsia="sr-Latn-CS"/>
              </w:rPr>
              <w:lastRenderedPageBreak/>
              <w:t>Име и презиме</w:t>
            </w:r>
          </w:p>
        </w:tc>
        <w:tc>
          <w:tcPr>
            <w:tcW w:w="6557" w:type="dxa"/>
            <w:gridSpan w:val="8"/>
            <w:tcBorders>
              <w:top w:val="single" w:sz="4" w:space="0" w:color="00000A"/>
              <w:left w:val="single" w:sz="4" w:space="0" w:color="00000A"/>
              <w:bottom w:val="single" w:sz="4" w:space="0" w:color="00000A"/>
              <w:right w:val="single" w:sz="4" w:space="0" w:color="00000A"/>
            </w:tcBorders>
            <w:vAlign w:val="center"/>
            <w:hideMark/>
          </w:tcPr>
          <w:p w:rsidR="000538EE" w:rsidRPr="000538EE" w:rsidRDefault="000538EE"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 xml:space="preserve">Љубица </w:t>
            </w:r>
            <w:bookmarkStart w:id="2" w:name="Опарница"/>
            <w:r w:rsidRPr="000538EE">
              <w:rPr>
                <w:rFonts w:eastAsia="Times New Roman"/>
                <w:sz w:val="20"/>
                <w:szCs w:val="20"/>
                <w:lang w:val="sr-Latn-RS" w:eastAsia="sr-Latn-CS"/>
              </w:rPr>
              <w:t>Опарница</w:t>
            </w:r>
            <w:bookmarkEnd w:id="2"/>
          </w:p>
        </w:tc>
      </w:tr>
      <w:tr w:rsidR="000538EE" w:rsidRPr="000538EE" w:rsidTr="000538EE">
        <w:trPr>
          <w:trHeight w:val="227"/>
        </w:trPr>
        <w:tc>
          <w:tcPr>
            <w:tcW w:w="3343" w:type="dxa"/>
            <w:gridSpan w:val="4"/>
            <w:tcBorders>
              <w:top w:val="single" w:sz="4" w:space="0" w:color="00000A"/>
              <w:left w:val="single" w:sz="4" w:space="0" w:color="00000A"/>
              <w:bottom w:val="single" w:sz="4" w:space="0" w:color="00000A"/>
              <w:right w:val="single" w:sz="4" w:space="0" w:color="00000A"/>
            </w:tcBorders>
            <w:vAlign w:val="center"/>
            <w:hideMark/>
          </w:tcPr>
          <w:p w:rsidR="000538EE" w:rsidRPr="000538EE" w:rsidRDefault="000538EE" w:rsidP="000538EE">
            <w:pPr>
              <w:widowControl w:val="0"/>
              <w:tabs>
                <w:tab w:val="left" w:pos="567"/>
              </w:tabs>
              <w:suppressAutoHyphens/>
              <w:spacing w:after="60" w:line="276" w:lineRule="auto"/>
              <w:rPr>
                <w:rFonts w:eastAsia="Times New Roman"/>
                <w:b/>
                <w:sz w:val="20"/>
                <w:szCs w:val="20"/>
                <w:lang w:val="sr-Latn-RS" w:eastAsia="sr-Latn-CS"/>
              </w:rPr>
            </w:pPr>
            <w:r w:rsidRPr="000538EE">
              <w:rPr>
                <w:rFonts w:eastAsia="Times New Roman"/>
                <w:b/>
                <w:sz w:val="20"/>
                <w:szCs w:val="20"/>
                <w:lang w:val="sr-Latn-RS" w:eastAsia="sr-Latn-CS"/>
              </w:rPr>
              <w:t>Звање</w:t>
            </w:r>
          </w:p>
        </w:tc>
        <w:tc>
          <w:tcPr>
            <w:tcW w:w="6557" w:type="dxa"/>
            <w:gridSpan w:val="8"/>
            <w:tcBorders>
              <w:top w:val="single" w:sz="4" w:space="0" w:color="00000A"/>
              <w:left w:val="single" w:sz="4" w:space="0" w:color="00000A"/>
              <w:bottom w:val="single" w:sz="4" w:space="0" w:color="00000A"/>
              <w:right w:val="single" w:sz="4" w:space="0" w:color="00000A"/>
            </w:tcBorders>
            <w:vAlign w:val="center"/>
            <w:hideMark/>
          </w:tcPr>
          <w:p w:rsidR="000538EE" w:rsidRPr="000538EE" w:rsidRDefault="00914094" w:rsidP="000538EE">
            <w:pPr>
              <w:widowControl w:val="0"/>
              <w:tabs>
                <w:tab w:val="left" w:pos="567"/>
              </w:tabs>
              <w:suppressAutoHyphens/>
              <w:spacing w:after="60" w:line="276" w:lineRule="auto"/>
              <w:rPr>
                <w:rFonts w:eastAsia="Times New Roman"/>
                <w:sz w:val="20"/>
                <w:szCs w:val="20"/>
                <w:lang w:val="sr-Latn-RS" w:eastAsia="sr-Latn-CS"/>
              </w:rPr>
            </w:pPr>
            <w:r>
              <w:rPr>
                <w:rFonts w:eastAsia="Times New Roman"/>
                <w:sz w:val="20"/>
                <w:szCs w:val="20"/>
                <w:lang w:val="sr-Cyrl-RS" w:eastAsia="sr-Latn-CS"/>
              </w:rPr>
              <w:t>В</w:t>
            </w:r>
            <w:r w:rsidR="000538EE" w:rsidRPr="000538EE">
              <w:rPr>
                <w:rFonts w:eastAsia="Times New Roman"/>
                <w:sz w:val="20"/>
                <w:szCs w:val="20"/>
                <w:lang w:val="sr-Latn-RS" w:eastAsia="sr-Latn-CS"/>
              </w:rPr>
              <w:t>анредни професор</w:t>
            </w:r>
          </w:p>
        </w:tc>
      </w:tr>
      <w:tr w:rsidR="000538EE" w:rsidRPr="000538EE" w:rsidTr="000538EE">
        <w:trPr>
          <w:trHeight w:val="227"/>
        </w:trPr>
        <w:tc>
          <w:tcPr>
            <w:tcW w:w="3343" w:type="dxa"/>
            <w:gridSpan w:val="4"/>
            <w:tcBorders>
              <w:top w:val="single" w:sz="4" w:space="0" w:color="00000A"/>
              <w:left w:val="single" w:sz="4" w:space="0" w:color="00000A"/>
              <w:bottom w:val="single" w:sz="4" w:space="0" w:color="00000A"/>
              <w:right w:val="single" w:sz="4" w:space="0" w:color="00000A"/>
            </w:tcBorders>
            <w:vAlign w:val="center"/>
            <w:hideMark/>
          </w:tcPr>
          <w:p w:rsidR="000538EE" w:rsidRPr="000538EE" w:rsidRDefault="000538EE" w:rsidP="000538EE">
            <w:pPr>
              <w:widowControl w:val="0"/>
              <w:tabs>
                <w:tab w:val="left" w:pos="567"/>
              </w:tabs>
              <w:suppressAutoHyphens/>
              <w:spacing w:after="60" w:line="276" w:lineRule="auto"/>
              <w:rPr>
                <w:rFonts w:eastAsia="Times New Roman"/>
                <w:b/>
                <w:sz w:val="20"/>
                <w:szCs w:val="20"/>
                <w:lang w:val="sr-Latn-RS" w:eastAsia="sr-Latn-CS"/>
              </w:rPr>
            </w:pPr>
            <w:r w:rsidRPr="000538EE">
              <w:rPr>
                <w:rFonts w:eastAsia="Times New Roman"/>
                <w:b/>
                <w:sz w:val="20"/>
                <w:szCs w:val="20"/>
                <w:lang w:val="sr-Latn-RS" w:eastAsia="sr-Latn-CS"/>
              </w:rPr>
              <w:t>Ужа научна област</w:t>
            </w:r>
          </w:p>
        </w:tc>
        <w:tc>
          <w:tcPr>
            <w:tcW w:w="6557" w:type="dxa"/>
            <w:gridSpan w:val="8"/>
            <w:tcBorders>
              <w:top w:val="single" w:sz="4" w:space="0" w:color="00000A"/>
              <w:left w:val="single" w:sz="4" w:space="0" w:color="00000A"/>
              <w:bottom w:val="single" w:sz="4" w:space="0" w:color="00000A"/>
              <w:right w:val="single" w:sz="4" w:space="0" w:color="00000A"/>
            </w:tcBorders>
            <w:vAlign w:val="center"/>
            <w:hideMark/>
          </w:tcPr>
          <w:p w:rsidR="000538EE" w:rsidRPr="000538EE" w:rsidRDefault="00E15503" w:rsidP="000538EE">
            <w:pPr>
              <w:widowControl w:val="0"/>
              <w:tabs>
                <w:tab w:val="left" w:pos="567"/>
              </w:tabs>
              <w:suppressAutoHyphens/>
              <w:spacing w:after="60" w:line="276" w:lineRule="auto"/>
              <w:rPr>
                <w:rFonts w:eastAsia="Times New Roman"/>
                <w:sz w:val="20"/>
                <w:szCs w:val="20"/>
                <w:lang w:val="sr-Latn-RS" w:eastAsia="sr-Latn-CS"/>
              </w:rPr>
            </w:pPr>
            <w:r>
              <w:rPr>
                <w:rFonts w:eastAsia="Times New Roman"/>
                <w:sz w:val="20"/>
                <w:szCs w:val="20"/>
                <w:lang w:val="sr-Cyrl-RS" w:eastAsia="sr-Latn-CS"/>
              </w:rPr>
              <w:t>М</w:t>
            </w:r>
            <w:r w:rsidR="000538EE" w:rsidRPr="000538EE">
              <w:rPr>
                <w:rFonts w:eastAsia="Times New Roman"/>
                <w:sz w:val="20"/>
                <w:szCs w:val="20"/>
                <w:lang w:val="sr-Latn-RS" w:eastAsia="sr-Latn-CS"/>
              </w:rPr>
              <w:t>атематичке науке</w:t>
            </w:r>
          </w:p>
        </w:tc>
      </w:tr>
      <w:tr w:rsidR="00914094" w:rsidRPr="000538EE" w:rsidTr="002351C4">
        <w:trPr>
          <w:trHeight w:val="227"/>
        </w:trPr>
        <w:tc>
          <w:tcPr>
            <w:tcW w:w="2189" w:type="dxa"/>
            <w:gridSpan w:val="3"/>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after="60" w:line="276" w:lineRule="auto"/>
              <w:rPr>
                <w:rFonts w:eastAsia="Times New Roman"/>
                <w:b/>
                <w:sz w:val="20"/>
                <w:szCs w:val="20"/>
                <w:lang w:val="sr-Latn-RS" w:eastAsia="sr-Latn-CS"/>
              </w:rPr>
            </w:pPr>
            <w:r w:rsidRPr="000538EE">
              <w:rPr>
                <w:rFonts w:eastAsia="Times New Roman"/>
                <w:b/>
                <w:sz w:val="20"/>
                <w:szCs w:val="20"/>
                <w:lang w:val="sr-Latn-RS" w:eastAsia="sr-Latn-CS"/>
              </w:rPr>
              <w:t>Академска каријера</w:t>
            </w:r>
          </w:p>
        </w:tc>
        <w:tc>
          <w:tcPr>
            <w:tcW w:w="1154" w:type="dxa"/>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 xml:space="preserve">Година </w:t>
            </w:r>
          </w:p>
        </w:tc>
        <w:tc>
          <w:tcPr>
            <w:tcW w:w="3227" w:type="dxa"/>
            <w:gridSpan w:val="5"/>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 xml:space="preserve">Институција </w:t>
            </w:r>
          </w:p>
        </w:tc>
        <w:tc>
          <w:tcPr>
            <w:tcW w:w="3330" w:type="dxa"/>
            <w:gridSpan w:val="3"/>
            <w:tcBorders>
              <w:top w:val="single" w:sz="4" w:space="0" w:color="00000A"/>
              <w:left w:val="single" w:sz="4" w:space="0" w:color="00000A"/>
              <w:bottom w:val="single" w:sz="4" w:space="0" w:color="00000A"/>
              <w:right w:val="single" w:sz="4" w:space="0" w:color="00000A"/>
            </w:tcBorders>
            <w:vAlign w:val="center"/>
            <w:hideMark/>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914094" w:rsidRPr="000538EE" w:rsidTr="002351C4">
        <w:trPr>
          <w:trHeight w:val="227"/>
        </w:trPr>
        <w:tc>
          <w:tcPr>
            <w:tcW w:w="2189" w:type="dxa"/>
            <w:gridSpan w:val="3"/>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Избор у звање</w:t>
            </w:r>
          </w:p>
        </w:tc>
        <w:tc>
          <w:tcPr>
            <w:tcW w:w="1154" w:type="dxa"/>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2015.</w:t>
            </w:r>
          </w:p>
        </w:tc>
        <w:tc>
          <w:tcPr>
            <w:tcW w:w="3227" w:type="dxa"/>
            <w:gridSpan w:val="5"/>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Педагошки факултет у Сомбору, Универзитет у Новом Саду</w:t>
            </w:r>
          </w:p>
        </w:tc>
        <w:tc>
          <w:tcPr>
            <w:tcW w:w="3330" w:type="dxa"/>
            <w:gridSpan w:val="3"/>
            <w:tcBorders>
              <w:top w:val="single" w:sz="4" w:space="0" w:color="00000A"/>
              <w:left w:val="single" w:sz="4" w:space="0" w:color="00000A"/>
              <w:bottom w:val="single" w:sz="4" w:space="0" w:color="00000A"/>
              <w:right w:val="single" w:sz="4" w:space="0" w:color="00000A"/>
            </w:tcBorders>
            <w:vAlign w:val="center"/>
            <w:hideMark/>
          </w:tcPr>
          <w:p w:rsidR="00914094" w:rsidRPr="004B0977" w:rsidRDefault="00914094" w:rsidP="00914094">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914094" w:rsidRPr="000538EE" w:rsidTr="002351C4">
        <w:trPr>
          <w:trHeight w:val="227"/>
        </w:trPr>
        <w:tc>
          <w:tcPr>
            <w:tcW w:w="2189" w:type="dxa"/>
            <w:gridSpan w:val="3"/>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Докторат</w:t>
            </w:r>
          </w:p>
        </w:tc>
        <w:tc>
          <w:tcPr>
            <w:tcW w:w="1154" w:type="dxa"/>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2008.</w:t>
            </w:r>
          </w:p>
        </w:tc>
        <w:tc>
          <w:tcPr>
            <w:tcW w:w="3227" w:type="dxa"/>
            <w:gridSpan w:val="5"/>
            <w:tcBorders>
              <w:top w:val="single" w:sz="4" w:space="0" w:color="00000A"/>
              <w:left w:val="single" w:sz="4" w:space="0" w:color="00000A"/>
              <w:bottom w:val="single" w:sz="4" w:space="0" w:color="00000A"/>
              <w:right w:val="single" w:sz="4" w:space="0" w:color="00000A"/>
            </w:tcBorders>
            <w:vAlign w:val="center"/>
            <w:hideMark/>
          </w:tcPr>
          <w:p w:rsidR="00914094" w:rsidRPr="000538EE" w:rsidRDefault="0091409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Математички факултет, Универзитет у Бечу</w:t>
            </w:r>
          </w:p>
        </w:tc>
        <w:tc>
          <w:tcPr>
            <w:tcW w:w="3330" w:type="dxa"/>
            <w:gridSpan w:val="3"/>
            <w:tcBorders>
              <w:top w:val="single" w:sz="4" w:space="0" w:color="00000A"/>
              <w:left w:val="single" w:sz="4" w:space="0" w:color="00000A"/>
              <w:bottom w:val="single" w:sz="4" w:space="0" w:color="00000A"/>
              <w:right w:val="single" w:sz="4" w:space="0" w:color="00000A"/>
            </w:tcBorders>
            <w:vAlign w:val="center"/>
            <w:hideMark/>
          </w:tcPr>
          <w:p w:rsidR="00914094" w:rsidRPr="004B0977" w:rsidRDefault="00914094" w:rsidP="00914094">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2351C4" w:rsidRPr="000538EE" w:rsidTr="002351C4">
        <w:trPr>
          <w:trHeight w:val="227"/>
        </w:trPr>
        <w:tc>
          <w:tcPr>
            <w:tcW w:w="2189" w:type="dxa"/>
            <w:gridSpan w:val="3"/>
            <w:tcBorders>
              <w:top w:val="single" w:sz="4" w:space="0" w:color="00000A"/>
              <w:left w:val="single" w:sz="4" w:space="0" w:color="00000A"/>
              <w:bottom w:val="single" w:sz="4" w:space="0" w:color="00000A"/>
              <w:right w:val="single" w:sz="4" w:space="0" w:color="00000A"/>
            </w:tcBorders>
            <w:vAlign w:val="center"/>
          </w:tcPr>
          <w:p w:rsidR="002351C4" w:rsidRPr="00FD5391" w:rsidRDefault="002351C4" w:rsidP="00365FD3">
            <w:pPr>
              <w:widowControl w:val="0"/>
              <w:tabs>
                <w:tab w:val="left" w:pos="567"/>
              </w:tabs>
              <w:suppressAutoHyphens/>
              <w:rPr>
                <w:rFonts w:eastAsia="Times New Roman"/>
                <w:color w:val="00000A"/>
                <w:sz w:val="20"/>
                <w:szCs w:val="20"/>
                <w:lang w:val="sr-Cyrl-RS" w:eastAsia="sr-Latn-CS"/>
              </w:rPr>
            </w:pPr>
            <w:r>
              <w:rPr>
                <w:rFonts w:eastAsia="Times New Roman"/>
                <w:color w:val="00000A"/>
                <w:sz w:val="20"/>
                <w:szCs w:val="20"/>
                <w:lang w:val="sr-Cyrl-RS" w:eastAsia="sr-Latn-CS"/>
              </w:rPr>
              <w:t>Магистратура</w:t>
            </w:r>
          </w:p>
        </w:tc>
        <w:tc>
          <w:tcPr>
            <w:tcW w:w="1154" w:type="dxa"/>
            <w:tcBorders>
              <w:top w:val="single" w:sz="4" w:space="0" w:color="00000A"/>
              <w:left w:val="single" w:sz="4" w:space="0" w:color="00000A"/>
              <w:bottom w:val="single" w:sz="4" w:space="0" w:color="00000A"/>
              <w:right w:val="single" w:sz="4" w:space="0" w:color="00000A"/>
            </w:tcBorders>
            <w:vAlign w:val="center"/>
          </w:tcPr>
          <w:p w:rsidR="002351C4" w:rsidRPr="00FD5391" w:rsidRDefault="002351C4" w:rsidP="00365FD3">
            <w:pPr>
              <w:widowControl w:val="0"/>
              <w:tabs>
                <w:tab w:val="left" w:pos="567"/>
              </w:tabs>
              <w:suppressAutoHyphens/>
              <w:rPr>
                <w:rFonts w:eastAsia="Times New Roman"/>
                <w:color w:val="00000A"/>
                <w:sz w:val="20"/>
                <w:szCs w:val="20"/>
                <w:lang w:val="sr-Cyrl-RS" w:eastAsia="sr-Latn-CS"/>
              </w:rPr>
            </w:pPr>
            <w:r>
              <w:rPr>
                <w:rFonts w:eastAsia="Times New Roman"/>
                <w:color w:val="00000A"/>
                <w:sz w:val="20"/>
                <w:szCs w:val="20"/>
                <w:lang w:val="sr-Cyrl-RS" w:eastAsia="sr-Latn-CS"/>
              </w:rPr>
              <w:t>2003.</w:t>
            </w:r>
          </w:p>
        </w:tc>
        <w:tc>
          <w:tcPr>
            <w:tcW w:w="3227" w:type="dxa"/>
            <w:gridSpan w:val="5"/>
            <w:tcBorders>
              <w:top w:val="single" w:sz="4" w:space="0" w:color="00000A"/>
              <w:left w:val="single" w:sz="4" w:space="0" w:color="00000A"/>
              <w:bottom w:val="single" w:sz="4" w:space="0" w:color="00000A"/>
              <w:right w:val="single" w:sz="4" w:space="0" w:color="00000A"/>
            </w:tcBorders>
            <w:vAlign w:val="center"/>
          </w:tcPr>
          <w:p w:rsidR="002351C4" w:rsidRPr="003814D5" w:rsidRDefault="002351C4" w:rsidP="00365FD3">
            <w:pPr>
              <w:widowControl w:val="0"/>
              <w:tabs>
                <w:tab w:val="left" w:pos="567"/>
              </w:tabs>
              <w:suppressAutoHyphens/>
              <w:rPr>
                <w:rFonts w:eastAsia="Times New Roman"/>
                <w:color w:val="00000A"/>
                <w:sz w:val="20"/>
                <w:szCs w:val="20"/>
                <w:lang w:val="sr-Latn-CS" w:eastAsia="sr-Latn-CS"/>
              </w:rPr>
            </w:pPr>
            <w:r w:rsidRPr="00FD5391">
              <w:rPr>
                <w:rFonts w:eastAsia="Times New Roman"/>
                <w:color w:val="00000A"/>
                <w:sz w:val="20"/>
                <w:szCs w:val="20"/>
                <w:lang w:val="sr-Latn-CS" w:eastAsia="sr-Latn-CS"/>
              </w:rPr>
              <w:t>Природно математички факултет, Универзитет у Новом Саду</w:t>
            </w:r>
          </w:p>
        </w:tc>
        <w:tc>
          <w:tcPr>
            <w:tcW w:w="3330" w:type="dxa"/>
            <w:gridSpan w:val="3"/>
            <w:tcBorders>
              <w:top w:val="single" w:sz="4" w:space="0" w:color="00000A"/>
              <w:left w:val="single" w:sz="4" w:space="0" w:color="00000A"/>
              <w:bottom w:val="single" w:sz="4" w:space="0" w:color="00000A"/>
              <w:right w:val="single" w:sz="4" w:space="0" w:color="00000A"/>
            </w:tcBorders>
            <w:vAlign w:val="center"/>
          </w:tcPr>
          <w:p w:rsidR="002351C4" w:rsidRPr="003814D5" w:rsidRDefault="002351C4" w:rsidP="00365FD3">
            <w:pPr>
              <w:widowControl w:val="0"/>
              <w:tabs>
                <w:tab w:val="left" w:pos="567"/>
              </w:tabs>
              <w:suppressAutoHyphens/>
              <w:rPr>
                <w:rFonts w:eastAsia="Times New Roman"/>
                <w:color w:val="00000A"/>
                <w:sz w:val="20"/>
                <w:szCs w:val="20"/>
                <w:lang w:val="sr-Latn-CS" w:eastAsia="sr-Latn-CS"/>
              </w:rPr>
            </w:pPr>
            <w:r w:rsidRPr="00FD5391">
              <w:rPr>
                <w:rFonts w:eastAsia="Times New Roman"/>
                <w:color w:val="00000A"/>
                <w:sz w:val="20"/>
                <w:szCs w:val="20"/>
                <w:lang w:val="sr-Latn-CS" w:eastAsia="sr-Latn-CS"/>
              </w:rPr>
              <w:t>Математика</w:t>
            </w:r>
          </w:p>
        </w:tc>
      </w:tr>
      <w:tr w:rsidR="002351C4" w:rsidRPr="000538EE" w:rsidTr="002351C4">
        <w:trPr>
          <w:trHeight w:val="227"/>
        </w:trPr>
        <w:tc>
          <w:tcPr>
            <w:tcW w:w="2189" w:type="dxa"/>
            <w:gridSpan w:val="3"/>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Диплома</w:t>
            </w:r>
          </w:p>
        </w:tc>
        <w:tc>
          <w:tcPr>
            <w:tcW w:w="1154"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1998.</w:t>
            </w:r>
          </w:p>
        </w:tc>
        <w:tc>
          <w:tcPr>
            <w:tcW w:w="3227" w:type="dxa"/>
            <w:gridSpan w:val="5"/>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Природно математички факултет,</w:t>
            </w:r>
          </w:p>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Универзитет у Новом Саду</w:t>
            </w:r>
          </w:p>
        </w:tc>
        <w:tc>
          <w:tcPr>
            <w:tcW w:w="3330" w:type="dxa"/>
            <w:gridSpan w:val="3"/>
            <w:tcBorders>
              <w:top w:val="single" w:sz="4" w:space="0" w:color="00000A"/>
              <w:left w:val="single" w:sz="4" w:space="0" w:color="00000A"/>
              <w:bottom w:val="single" w:sz="4" w:space="0" w:color="00000A"/>
              <w:right w:val="single" w:sz="4" w:space="0" w:color="00000A"/>
            </w:tcBorders>
            <w:vAlign w:val="center"/>
            <w:hideMark/>
          </w:tcPr>
          <w:p w:rsidR="002351C4" w:rsidRPr="004B0977" w:rsidRDefault="002351C4" w:rsidP="00914094">
            <w:pPr>
              <w:widowControl w:val="0"/>
              <w:autoSpaceDE w:val="0"/>
              <w:autoSpaceDN w:val="0"/>
              <w:adjustRightInd w:val="0"/>
              <w:rPr>
                <w:rFonts w:eastAsia="Times New Roman"/>
                <w:sz w:val="20"/>
                <w:szCs w:val="20"/>
                <w:lang w:val="sr-Latn-RS" w:eastAsia="sr-Latn-CS"/>
              </w:rPr>
            </w:pPr>
            <w:r w:rsidRPr="004B0977">
              <w:rPr>
                <w:rFonts w:eastAsia="Times New Roman"/>
                <w:sz w:val="20"/>
                <w:szCs w:val="20"/>
                <w:lang w:val="sr-Latn-RS" w:eastAsia="sr-Latn-CS"/>
              </w:rPr>
              <w:t>Математичке науке</w:t>
            </w:r>
          </w:p>
        </w:tc>
      </w:tr>
      <w:tr w:rsidR="002351C4" w:rsidRPr="000538EE" w:rsidTr="000538EE">
        <w:trPr>
          <w:trHeight w:val="227"/>
        </w:trPr>
        <w:tc>
          <w:tcPr>
            <w:tcW w:w="9900" w:type="dxa"/>
            <w:gridSpan w:val="12"/>
            <w:tcBorders>
              <w:top w:val="single" w:sz="4" w:space="0" w:color="00000A"/>
              <w:left w:val="single" w:sz="4" w:space="0" w:color="00000A"/>
              <w:bottom w:val="single" w:sz="4" w:space="0" w:color="00000A"/>
              <w:right w:val="single" w:sz="4" w:space="0" w:color="00000A"/>
            </w:tcBorders>
            <w:vAlign w:val="center"/>
            <w:hideMark/>
          </w:tcPr>
          <w:p w:rsidR="002351C4" w:rsidRPr="004B0977" w:rsidRDefault="002351C4"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2351C4" w:rsidRPr="000538EE" w:rsidTr="000538EE">
        <w:trPr>
          <w:trHeight w:val="227"/>
        </w:trPr>
        <w:tc>
          <w:tcPr>
            <w:tcW w:w="543"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Р.Б.</w:t>
            </w:r>
          </w:p>
        </w:tc>
        <w:tc>
          <w:tcPr>
            <w:tcW w:w="2990" w:type="dxa"/>
            <w:gridSpan w:val="4"/>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Наслов дисертације</w:t>
            </w:r>
          </w:p>
        </w:tc>
        <w:tc>
          <w:tcPr>
            <w:tcW w:w="2396"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Име кандидата</w:t>
            </w:r>
          </w:p>
        </w:tc>
        <w:tc>
          <w:tcPr>
            <w:tcW w:w="1612" w:type="dxa"/>
            <w:gridSpan w:val="3"/>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 xml:space="preserve">*пријављена </w:t>
            </w:r>
          </w:p>
        </w:tc>
        <w:tc>
          <w:tcPr>
            <w:tcW w:w="2359"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 одбрањена</w:t>
            </w:r>
          </w:p>
        </w:tc>
      </w:tr>
      <w:tr w:rsidR="002351C4" w:rsidRPr="000538EE" w:rsidTr="000538EE">
        <w:trPr>
          <w:trHeight w:val="227"/>
        </w:trPr>
        <w:tc>
          <w:tcPr>
            <w:tcW w:w="543" w:type="dxa"/>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p>
        </w:tc>
        <w:tc>
          <w:tcPr>
            <w:tcW w:w="2990" w:type="dxa"/>
            <w:gridSpan w:val="4"/>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p>
        </w:tc>
        <w:tc>
          <w:tcPr>
            <w:tcW w:w="2396" w:type="dxa"/>
            <w:gridSpan w:val="2"/>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p>
        </w:tc>
        <w:tc>
          <w:tcPr>
            <w:tcW w:w="1612" w:type="dxa"/>
            <w:gridSpan w:val="3"/>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p>
        </w:tc>
        <w:tc>
          <w:tcPr>
            <w:tcW w:w="2359" w:type="dxa"/>
            <w:gridSpan w:val="2"/>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p>
        </w:tc>
      </w:tr>
      <w:tr w:rsidR="002351C4" w:rsidRPr="002B42F1" w:rsidTr="000538EE">
        <w:trPr>
          <w:trHeight w:val="227"/>
        </w:trPr>
        <w:tc>
          <w:tcPr>
            <w:tcW w:w="9900" w:type="dxa"/>
            <w:gridSpan w:val="12"/>
            <w:tcBorders>
              <w:top w:val="single" w:sz="4" w:space="0" w:color="00000A"/>
              <w:left w:val="single" w:sz="4" w:space="0" w:color="00000A"/>
              <w:bottom w:val="single" w:sz="4" w:space="0" w:color="00000A"/>
              <w:right w:val="single" w:sz="4" w:space="0" w:color="00000A"/>
            </w:tcBorders>
            <w:vAlign w:val="center"/>
            <w:hideMark/>
          </w:tcPr>
          <w:p w:rsidR="002351C4" w:rsidRPr="002B42F1" w:rsidRDefault="002351C4" w:rsidP="000538EE">
            <w:pPr>
              <w:widowControl w:val="0"/>
              <w:tabs>
                <w:tab w:val="left" w:pos="567"/>
              </w:tabs>
              <w:suppressAutoHyphens/>
              <w:spacing w:after="60" w:line="276" w:lineRule="auto"/>
              <w:rPr>
                <w:rFonts w:eastAsia="Times New Roman"/>
                <w:sz w:val="16"/>
                <w:szCs w:val="16"/>
                <w:lang w:val="sr-Latn-RS" w:eastAsia="sr-Latn-CS"/>
              </w:rPr>
            </w:pPr>
            <w:r w:rsidRPr="002B42F1">
              <w:rPr>
                <w:rFonts w:eastAsia="Times New Roman"/>
                <w:sz w:val="16"/>
                <w:szCs w:val="16"/>
                <w:lang w:val="sr-Latn-R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2351C4" w:rsidRPr="00914094" w:rsidTr="000538EE">
        <w:trPr>
          <w:trHeight w:val="227"/>
        </w:trPr>
        <w:tc>
          <w:tcPr>
            <w:tcW w:w="9900" w:type="dxa"/>
            <w:gridSpan w:val="12"/>
            <w:tcBorders>
              <w:top w:val="single" w:sz="4" w:space="0" w:color="00000A"/>
              <w:left w:val="single" w:sz="4" w:space="0" w:color="00000A"/>
              <w:bottom w:val="single" w:sz="4" w:space="0" w:color="00000A"/>
              <w:right w:val="single" w:sz="4" w:space="0" w:color="00000A"/>
            </w:tcBorders>
            <w:vAlign w:val="center"/>
            <w:hideMark/>
          </w:tcPr>
          <w:p w:rsidR="002351C4" w:rsidRPr="00914094" w:rsidRDefault="002351C4" w:rsidP="002B42F1">
            <w:pPr>
              <w:widowControl w:val="0"/>
              <w:tabs>
                <w:tab w:val="left" w:pos="567"/>
              </w:tabs>
              <w:autoSpaceDE w:val="0"/>
              <w:autoSpaceDN w:val="0"/>
              <w:adjustRightInd w:val="0"/>
              <w:spacing w:after="60"/>
              <w:rPr>
                <w:rFonts w:eastAsia="Times New Roman"/>
                <w:b/>
                <w:sz w:val="16"/>
                <w:szCs w:val="16"/>
                <w:lang w:val="sr-Latn-CS" w:eastAsia="sr-Latn-CS"/>
              </w:rPr>
            </w:pPr>
            <w:r w:rsidRPr="0091409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2351C4" w:rsidRPr="00914094" w:rsidRDefault="002351C4" w:rsidP="002B42F1">
            <w:pPr>
              <w:widowControl w:val="0"/>
              <w:tabs>
                <w:tab w:val="left" w:pos="567"/>
              </w:tabs>
              <w:autoSpaceDE w:val="0"/>
              <w:autoSpaceDN w:val="0"/>
              <w:adjustRightInd w:val="0"/>
              <w:spacing w:after="60"/>
              <w:rPr>
                <w:rFonts w:eastAsia="Times New Roman"/>
                <w:b/>
                <w:sz w:val="16"/>
                <w:szCs w:val="16"/>
                <w:lang w:val="sr-Cyrl-CS" w:eastAsia="sr-Latn-CS"/>
              </w:rPr>
            </w:pPr>
            <w:r w:rsidRPr="0091409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1</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Marić, Mia, Maja Mihajlović, and Ljubica Oparnica. "Instrument za procenu motivacije i strategija samoregulacije u učenju matematike (SRUM)." Nastava i vaspitanje 67.1 (2018): 129-146.</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eastAsia="sr-Latn-CS"/>
              </w:rPr>
            </w:pPr>
            <w:r w:rsidRPr="000538EE">
              <w:rPr>
                <w:rFonts w:eastAsia="Times New Roman"/>
                <w:sz w:val="20"/>
                <w:szCs w:val="20"/>
                <w:lang w:eastAsia="sr-Latn-CS"/>
              </w:rPr>
              <w:t>M24</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2</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Oparnica, Ljubica, Mia Maric, and Maja Mihajlovic. "Assessing metacognition and self-regulated learning in prospective mathematics teachers in Serbia." 42nd ATEE Annual Conference 2017 Conference proceedings.</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М33</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3</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Zobenica, Maja S., and Ljubica M. Oparnica. "Some components of self-regulation in learning mathematics among students of the Faculty of education in Sombor." Inovacije u nastavi-časopis za savremenu nastavu 31.1 (2018): 90-102.</w:t>
            </w:r>
          </w:p>
        </w:tc>
        <w:tc>
          <w:tcPr>
            <w:tcW w:w="720" w:type="dxa"/>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М51</w:t>
            </w:r>
          </w:p>
          <w:p w:rsidR="002351C4" w:rsidRPr="000538EE" w:rsidRDefault="002351C4" w:rsidP="000538EE">
            <w:pPr>
              <w:widowControl w:val="0"/>
              <w:tabs>
                <w:tab w:val="left" w:pos="567"/>
              </w:tabs>
              <w:suppressAutoHyphens/>
              <w:spacing w:line="276" w:lineRule="auto"/>
              <w:rPr>
                <w:rFonts w:eastAsia="Times New Roman"/>
                <w:color w:val="FF0000"/>
                <w:sz w:val="20"/>
                <w:szCs w:val="20"/>
                <w:lang w:val="sr-Latn-RS" w:eastAsia="sr-Latn-CS"/>
              </w:rPr>
            </w:pP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4</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Oparnica, Ljubica, Sofija Sudžuković, and Maja Zobenica. "Permutations in lower grades of primary school." Norma 21.1 (2016): 137-149.</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М52</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5</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Hörmann, Günther, Ljubica Oparnica, and Dušan Zorica. "Microlocal analysis of fractional wave equations." ZAMM</w:t>
            </w:r>
            <w:r w:rsidRPr="000538EE">
              <w:rPr>
                <w:rFonts w:ascii="Cambria Math" w:eastAsia="Times New Roman" w:hAnsi="Cambria Math" w:cs="Cambria Math"/>
                <w:sz w:val="20"/>
                <w:szCs w:val="20"/>
                <w:lang w:val="sr-Latn-RS" w:eastAsia="sr-Latn-CS"/>
              </w:rPr>
              <w:t>‐</w:t>
            </w:r>
            <w:r w:rsidRPr="000538EE">
              <w:rPr>
                <w:rFonts w:eastAsia="Times New Roman"/>
                <w:sz w:val="20"/>
                <w:szCs w:val="20"/>
                <w:lang w:val="sr-Latn-RS" w:eastAsia="sr-Latn-CS"/>
              </w:rPr>
              <w:t>Journal of Applied Mathematics and Mechanics/Zeitschrift für Angewandte Mathematik und Mechanik 97.2 (2017): 217-225.</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М21</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6</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Hörmann, Günther, Ljubica Oparnica, and Dušan Zorica. "Solvability and microlocal analysis of the fractional Eringen wave equation." Mathematics and Mechanics of Solids (2017): 1081286517726371.</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М21</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7</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Atanackovic, T. M., Janev, M., Oparnica, L., Pilipovic, S., &amp; Zorica, D. (2015, February). Space–time fractional Zener wave equation. In Proceedings of the Royal Society of London A: Mathematical, Physical and Engineering Sciences (Vol. 471, No. 2174, p. 20140614). The Royal Society.</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М21</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8</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Hörmann, G., Konjik, S., &amp; Oparnica, L. (2013). Generalized solutions for the euler-bernoulli model with zener viscoelastic foundations and distributional forces. Analysis and Applications, 11(2) doi:10.1142/S0219530513500176</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М21а</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9</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Atanackovíc, T., Konjik, S., Oparnica, L., &amp; Zorica, D. (2012). The cattaneo type space-time fractional heat conduction equation. Continuum Mechanics and Thermodynamics, 24(4-6), 293-311. doi:10.1007/s00161-011-0199-4</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М21</w:t>
            </w:r>
          </w:p>
        </w:tc>
      </w:tr>
      <w:tr w:rsidR="002351C4" w:rsidRPr="000538EE" w:rsidTr="000538EE">
        <w:trPr>
          <w:trHeight w:val="227"/>
        </w:trPr>
        <w:tc>
          <w:tcPr>
            <w:tcW w:w="567"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10</w:t>
            </w:r>
          </w:p>
        </w:tc>
        <w:tc>
          <w:tcPr>
            <w:tcW w:w="8613" w:type="dxa"/>
            <w:gridSpan w:val="9"/>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Konjik, S., Atanackovi, T. M., Oparnica, L., &amp; Zorica, D. (2011). Thermodynamical restrictions and wave propagation for a class of fractional order viscoelastic rods. Abstract and Applied Analysis, 2011 doi:10.1155/2011/975694</w:t>
            </w:r>
          </w:p>
        </w:tc>
        <w:tc>
          <w:tcPr>
            <w:tcW w:w="720" w:type="dxa"/>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line="276" w:lineRule="auto"/>
              <w:rPr>
                <w:rFonts w:eastAsia="Times New Roman"/>
                <w:sz w:val="20"/>
                <w:szCs w:val="20"/>
                <w:lang w:val="sr-Latn-RS" w:eastAsia="sr-Latn-CS"/>
              </w:rPr>
            </w:pPr>
            <w:r w:rsidRPr="000538EE">
              <w:rPr>
                <w:rFonts w:eastAsia="Times New Roman"/>
                <w:sz w:val="20"/>
                <w:szCs w:val="20"/>
                <w:lang w:val="sr-Latn-RS" w:eastAsia="sr-Latn-CS"/>
              </w:rPr>
              <w:t>М21</w:t>
            </w:r>
          </w:p>
        </w:tc>
      </w:tr>
      <w:tr w:rsidR="002351C4" w:rsidRPr="000538EE" w:rsidTr="000538EE">
        <w:tc>
          <w:tcPr>
            <w:tcW w:w="9900" w:type="dxa"/>
            <w:gridSpan w:val="1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b/>
                <w:sz w:val="20"/>
                <w:szCs w:val="20"/>
                <w:lang w:val="sr-Latn-RS" w:eastAsia="sr-Latn-CS"/>
              </w:rPr>
            </w:pPr>
            <w:r w:rsidRPr="000538EE">
              <w:rPr>
                <w:rFonts w:eastAsia="Times New Roman"/>
                <w:b/>
                <w:sz w:val="20"/>
                <w:szCs w:val="20"/>
                <w:lang w:val="sr-Latn-RS" w:eastAsia="sr-Latn-CS"/>
              </w:rPr>
              <w:t>Збирни подаци научне активност наставника</w:t>
            </w:r>
          </w:p>
        </w:tc>
      </w:tr>
      <w:tr w:rsidR="002351C4" w:rsidRPr="000538EE" w:rsidTr="000538EE">
        <w:tc>
          <w:tcPr>
            <w:tcW w:w="4289" w:type="dxa"/>
            <w:gridSpan w:val="6"/>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Укупан број цитата, без аутоцитата</w:t>
            </w:r>
          </w:p>
        </w:tc>
        <w:tc>
          <w:tcPr>
            <w:tcW w:w="5611" w:type="dxa"/>
            <w:gridSpan w:val="6"/>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149</w:t>
            </w:r>
          </w:p>
        </w:tc>
      </w:tr>
      <w:tr w:rsidR="002351C4" w:rsidRPr="000538EE" w:rsidTr="000538EE">
        <w:tc>
          <w:tcPr>
            <w:tcW w:w="4289" w:type="dxa"/>
            <w:gridSpan w:val="6"/>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lastRenderedPageBreak/>
              <w:t>Укупан број радова са SCI (или SSCI) листе</w:t>
            </w:r>
          </w:p>
        </w:tc>
        <w:tc>
          <w:tcPr>
            <w:tcW w:w="5611" w:type="dxa"/>
            <w:gridSpan w:val="6"/>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16</w:t>
            </w:r>
          </w:p>
        </w:tc>
      </w:tr>
      <w:tr w:rsidR="002351C4" w:rsidRPr="000538EE" w:rsidTr="000538EE">
        <w:tc>
          <w:tcPr>
            <w:tcW w:w="4289" w:type="dxa"/>
            <w:gridSpan w:val="6"/>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Тренутно учешће на пројектима</w:t>
            </w:r>
          </w:p>
        </w:tc>
        <w:tc>
          <w:tcPr>
            <w:tcW w:w="2103" w:type="dxa"/>
            <w:gridSpan w:val="2"/>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Домаћи</w:t>
            </w:r>
            <w:r>
              <w:rPr>
                <w:rFonts w:eastAsia="Times New Roman"/>
                <w:sz w:val="20"/>
                <w:szCs w:val="20"/>
                <w:lang w:val="sr-Cyrl-RS" w:eastAsia="sr-Latn-CS"/>
              </w:rPr>
              <w:t>:</w:t>
            </w:r>
            <w:r w:rsidRPr="000538EE">
              <w:rPr>
                <w:rFonts w:eastAsia="Times New Roman"/>
                <w:sz w:val="20"/>
                <w:szCs w:val="20"/>
                <w:lang w:val="sr-Latn-RS" w:eastAsia="sr-Latn-CS"/>
              </w:rPr>
              <w:t xml:space="preserve"> 2</w:t>
            </w:r>
          </w:p>
        </w:tc>
        <w:tc>
          <w:tcPr>
            <w:tcW w:w="3508" w:type="dxa"/>
            <w:gridSpan w:val="4"/>
            <w:tcBorders>
              <w:top w:val="single" w:sz="4" w:space="0" w:color="00000A"/>
              <w:left w:val="single" w:sz="4" w:space="0" w:color="00000A"/>
              <w:bottom w:val="single" w:sz="4" w:space="0" w:color="00000A"/>
              <w:right w:val="single" w:sz="4" w:space="0" w:color="00000A"/>
            </w:tcBorders>
            <w:vAlign w:val="center"/>
            <w:hideMark/>
          </w:tcPr>
          <w:p w:rsidR="002351C4" w:rsidRPr="000538EE" w:rsidRDefault="002351C4" w:rsidP="000538EE">
            <w:pPr>
              <w:widowControl w:val="0"/>
              <w:tabs>
                <w:tab w:val="left" w:pos="567"/>
              </w:tabs>
              <w:suppressAutoHyphens/>
              <w:spacing w:after="60" w:line="276" w:lineRule="auto"/>
              <w:rPr>
                <w:rFonts w:eastAsia="Times New Roman"/>
                <w:sz w:val="20"/>
                <w:szCs w:val="20"/>
                <w:lang w:val="sr-Latn-RS" w:eastAsia="sr-Latn-CS"/>
              </w:rPr>
            </w:pPr>
            <w:r w:rsidRPr="000538EE">
              <w:rPr>
                <w:rFonts w:eastAsia="Times New Roman"/>
                <w:sz w:val="20"/>
                <w:szCs w:val="20"/>
                <w:lang w:val="sr-Latn-RS" w:eastAsia="sr-Latn-CS"/>
              </w:rPr>
              <w:t>Међународни</w:t>
            </w:r>
            <w:r>
              <w:rPr>
                <w:rFonts w:eastAsia="Times New Roman"/>
                <w:sz w:val="20"/>
                <w:szCs w:val="20"/>
                <w:lang w:val="sr-Cyrl-RS" w:eastAsia="sr-Latn-CS"/>
              </w:rPr>
              <w:t>:</w:t>
            </w:r>
            <w:r w:rsidRPr="000538EE">
              <w:rPr>
                <w:rFonts w:eastAsia="Times New Roman"/>
                <w:sz w:val="20"/>
                <w:szCs w:val="20"/>
                <w:lang w:val="sr-Latn-RS" w:eastAsia="sr-Latn-CS"/>
              </w:rPr>
              <w:t xml:space="preserve"> 1</w:t>
            </w:r>
          </w:p>
        </w:tc>
      </w:tr>
      <w:tr w:rsidR="002351C4" w:rsidRPr="000538EE" w:rsidTr="009625A2">
        <w:tc>
          <w:tcPr>
            <w:tcW w:w="9900" w:type="dxa"/>
            <w:gridSpan w:val="12"/>
            <w:tcBorders>
              <w:top w:val="single" w:sz="4" w:space="0" w:color="00000A"/>
              <w:left w:val="single" w:sz="4" w:space="0" w:color="00000A"/>
              <w:bottom w:val="single" w:sz="4" w:space="0" w:color="00000A"/>
              <w:right w:val="single" w:sz="4" w:space="0" w:color="00000A"/>
            </w:tcBorders>
            <w:vAlign w:val="center"/>
          </w:tcPr>
          <w:p w:rsidR="002351C4" w:rsidRPr="000538EE" w:rsidRDefault="002351C4" w:rsidP="009625A2">
            <w:pPr>
              <w:widowControl w:val="0"/>
              <w:tabs>
                <w:tab w:val="left" w:pos="567"/>
              </w:tabs>
              <w:suppressAutoHyphens/>
              <w:spacing w:after="60" w:line="276" w:lineRule="auto"/>
              <w:jc w:val="right"/>
              <w:rPr>
                <w:rFonts w:eastAsia="Times New Roman"/>
                <w:sz w:val="20"/>
                <w:szCs w:val="20"/>
                <w:lang w:val="sr-Latn-RS" w:eastAsia="sr-Latn-CS"/>
              </w:rPr>
            </w:pP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0538EE" w:rsidRDefault="000538EE"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914094" w:rsidRDefault="00914094" w:rsidP="00E36EE2">
      <w:pPr>
        <w:rPr>
          <w:sz w:val="20"/>
          <w:szCs w:val="20"/>
          <w:lang w:val="sr-Cyrl-RS"/>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27"/>
        <w:gridCol w:w="1852"/>
        <w:gridCol w:w="1027"/>
        <w:gridCol w:w="410"/>
        <w:gridCol w:w="849"/>
        <w:gridCol w:w="1856"/>
        <w:gridCol w:w="478"/>
        <w:gridCol w:w="165"/>
        <w:gridCol w:w="1045"/>
        <w:gridCol w:w="867"/>
        <w:gridCol w:w="834"/>
      </w:tblGrid>
      <w:tr w:rsidR="004B0977" w:rsidRPr="004B0977" w:rsidTr="002351C4">
        <w:trPr>
          <w:trHeight w:val="227"/>
        </w:trPr>
        <w:tc>
          <w:tcPr>
            <w:tcW w:w="3420" w:type="dxa"/>
            <w:gridSpan w:val="4"/>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lastRenderedPageBreak/>
              <w:t>Име и презиме</w:t>
            </w:r>
          </w:p>
        </w:tc>
        <w:tc>
          <w:tcPr>
            <w:tcW w:w="6504" w:type="dxa"/>
            <w:gridSpan w:val="8"/>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Маријана Горјанац </w:t>
            </w:r>
            <w:bookmarkStart w:id="3" w:name="Ранитовић"/>
            <w:r w:rsidRPr="004B0977">
              <w:rPr>
                <w:rFonts w:eastAsia="Times New Roman"/>
                <w:sz w:val="20"/>
                <w:szCs w:val="20"/>
                <w:lang w:val="sr-Cyrl-CS" w:eastAsia="sr-Latn-CS"/>
              </w:rPr>
              <w:t>Ранитовић</w:t>
            </w:r>
            <w:bookmarkEnd w:id="3"/>
          </w:p>
        </w:tc>
      </w:tr>
      <w:tr w:rsidR="004B0977" w:rsidRPr="004B0977" w:rsidTr="002351C4">
        <w:trPr>
          <w:trHeight w:val="227"/>
        </w:trPr>
        <w:tc>
          <w:tcPr>
            <w:tcW w:w="3420" w:type="dxa"/>
            <w:gridSpan w:val="4"/>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Звање</w:t>
            </w:r>
          </w:p>
        </w:tc>
        <w:tc>
          <w:tcPr>
            <w:tcW w:w="6504" w:type="dxa"/>
            <w:gridSpan w:val="8"/>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Доцент</w:t>
            </w:r>
          </w:p>
        </w:tc>
      </w:tr>
      <w:tr w:rsidR="004B0977" w:rsidRPr="004B0977" w:rsidTr="002351C4">
        <w:trPr>
          <w:trHeight w:val="227"/>
        </w:trPr>
        <w:tc>
          <w:tcPr>
            <w:tcW w:w="3420" w:type="dxa"/>
            <w:gridSpan w:val="4"/>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Ужа научна област</w:t>
            </w:r>
          </w:p>
        </w:tc>
        <w:tc>
          <w:tcPr>
            <w:tcW w:w="6504" w:type="dxa"/>
            <w:gridSpan w:val="8"/>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Математичке науке</w:t>
            </w:r>
          </w:p>
        </w:tc>
      </w:tr>
      <w:tr w:rsidR="00914094" w:rsidRPr="004B0977" w:rsidTr="002351C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Академска каријера</w:t>
            </w:r>
          </w:p>
        </w:tc>
        <w:tc>
          <w:tcPr>
            <w:tcW w:w="1027" w:type="dxa"/>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Година </w:t>
            </w:r>
          </w:p>
        </w:tc>
        <w:tc>
          <w:tcPr>
            <w:tcW w:w="3758" w:type="dxa"/>
            <w:gridSpan w:val="5"/>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Институција </w:t>
            </w:r>
          </w:p>
        </w:tc>
        <w:tc>
          <w:tcPr>
            <w:tcW w:w="2746" w:type="dxa"/>
            <w:gridSpan w:val="3"/>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4B0977" w:rsidRPr="004B0977" w:rsidTr="002351C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Избор у звање</w:t>
            </w:r>
          </w:p>
        </w:tc>
        <w:tc>
          <w:tcPr>
            <w:tcW w:w="1027" w:type="dxa"/>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2015.</w:t>
            </w:r>
          </w:p>
        </w:tc>
        <w:tc>
          <w:tcPr>
            <w:tcW w:w="3758" w:type="dxa"/>
            <w:gridSpan w:val="5"/>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Педагошки факултет у Сомбору</w:t>
            </w:r>
            <w:r w:rsidR="002351C4">
              <w:rPr>
                <w:rFonts w:eastAsia="Times New Roman"/>
                <w:sz w:val="20"/>
                <w:szCs w:val="20"/>
                <w:lang w:val="sr-Cyrl-CS" w:eastAsia="sr-Latn-CS"/>
              </w:rPr>
              <w:t>, УНС</w:t>
            </w:r>
          </w:p>
        </w:tc>
        <w:tc>
          <w:tcPr>
            <w:tcW w:w="2746" w:type="dxa"/>
            <w:gridSpan w:val="3"/>
            <w:tcBorders>
              <w:top w:val="single" w:sz="4" w:space="0" w:color="auto"/>
              <w:left w:val="single" w:sz="4" w:space="0" w:color="auto"/>
              <w:bottom w:val="single" w:sz="4" w:space="0" w:color="auto"/>
              <w:right w:val="single" w:sz="4" w:space="0" w:color="auto"/>
            </w:tcBorders>
            <w:vAlign w:val="center"/>
            <w:hideMark/>
          </w:tcPr>
          <w:p w:rsidR="004B0977" w:rsidRPr="004B0977" w:rsidRDefault="004B0977"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Математичке науке</w:t>
            </w:r>
          </w:p>
        </w:tc>
      </w:tr>
      <w:tr w:rsidR="00914094" w:rsidRPr="004B0977" w:rsidTr="002351C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Докторат</w:t>
            </w:r>
          </w:p>
        </w:tc>
        <w:tc>
          <w:tcPr>
            <w:tcW w:w="1027" w:type="dxa"/>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2015.</w:t>
            </w:r>
          </w:p>
        </w:tc>
        <w:tc>
          <w:tcPr>
            <w:tcW w:w="3758" w:type="dxa"/>
            <w:gridSpan w:val="5"/>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Природно –математички факултет</w:t>
            </w:r>
            <w:r w:rsidR="002351C4">
              <w:rPr>
                <w:rFonts w:eastAsia="Times New Roman"/>
                <w:sz w:val="20"/>
                <w:szCs w:val="20"/>
                <w:lang w:val="sr-Cyrl-CS" w:eastAsia="sr-Latn-CS"/>
              </w:rPr>
              <w:t>, УНС</w:t>
            </w:r>
          </w:p>
        </w:tc>
        <w:tc>
          <w:tcPr>
            <w:tcW w:w="2746" w:type="dxa"/>
            <w:gridSpan w:val="3"/>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Математичке науке</w:t>
            </w:r>
          </w:p>
        </w:tc>
      </w:tr>
      <w:tr w:rsidR="002351C4" w:rsidRPr="004B0977" w:rsidTr="002351C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tcPr>
          <w:p w:rsidR="002351C4" w:rsidRPr="005F45C9" w:rsidRDefault="002351C4" w:rsidP="00365FD3">
            <w:pPr>
              <w:widowControl w:val="0"/>
              <w:tabs>
                <w:tab w:val="left" w:pos="567"/>
              </w:tabs>
              <w:autoSpaceDE w:val="0"/>
              <w:autoSpaceDN w:val="0"/>
              <w:adjustRightInd w:val="0"/>
              <w:rPr>
                <w:rFonts w:eastAsia="Times New Roman"/>
                <w:sz w:val="20"/>
                <w:szCs w:val="20"/>
                <w:lang w:val="sr-Cyrl-CS" w:eastAsia="sr-Latn-CS"/>
              </w:rPr>
            </w:pPr>
            <w:r>
              <w:rPr>
                <w:rFonts w:eastAsia="Times New Roman"/>
                <w:sz w:val="20"/>
                <w:szCs w:val="20"/>
                <w:lang w:val="sr-Cyrl-CS" w:eastAsia="sr-Latn-CS"/>
              </w:rPr>
              <w:t>Магистратура</w:t>
            </w:r>
          </w:p>
        </w:tc>
        <w:tc>
          <w:tcPr>
            <w:tcW w:w="1027" w:type="dxa"/>
            <w:tcBorders>
              <w:top w:val="single" w:sz="4" w:space="0" w:color="auto"/>
              <w:left w:val="single" w:sz="4" w:space="0" w:color="auto"/>
              <w:bottom w:val="single" w:sz="4" w:space="0" w:color="auto"/>
              <w:right w:val="single" w:sz="4" w:space="0" w:color="auto"/>
            </w:tcBorders>
            <w:vAlign w:val="center"/>
          </w:tcPr>
          <w:p w:rsidR="002351C4" w:rsidRPr="005F45C9" w:rsidRDefault="002351C4" w:rsidP="00365FD3">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2005.</w:t>
            </w:r>
          </w:p>
        </w:tc>
        <w:tc>
          <w:tcPr>
            <w:tcW w:w="3758" w:type="dxa"/>
            <w:gridSpan w:val="5"/>
            <w:tcBorders>
              <w:top w:val="single" w:sz="4" w:space="0" w:color="auto"/>
              <w:left w:val="single" w:sz="4" w:space="0" w:color="auto"/>
              <w:bottom w:val="single" w:sz="4" w:space="0" w:color="auto"/>
              <w:right w:val="single" w:sz="4" w:space="0" w:color="auto"/>
            </w:tcBorders>
            <w:vAlign w:val="center"/>
          </w:tcPr>
          <w:p w:rsidR="002351C4" w:rsidRPr="005F45C9" w:rsidRDefault="002351C4" w:rsidP="00365FD3">
            <w:pPr>
              <w:widowControl w:val="0"/>
              <w:tabs>
                <w:tab w:val="left" w:pos="567"/>
              </w:tabs>
              <w:autoSpaceDE w:val="0"/>
              <w:autoSpaceDN w:val="0"/>
              <w:adjustRightInd w:val="0"/>
              <w:spacing w:after="60"/>
              <w:rPr>
                <w:rFonts w:eastAsia="Times New Roman"/>
                <w:sz w:val="20"/>
                <w:szCs w:val="20"/>
                <w:lang w:val="sr-Cyrl-CS" w:eastAsia="sr-Latn-CS"/>
              </w:rPr>
            </w:pPr>
            <w:r w:rsidRPr="005F45C9">
              <w:rPr>
                <w:rFonts w:eastAsia="Times New Roman"/>
                <w:sz w:val="20"/>
                <w:szCs w:val="20"/>
                <w:lang w:val="sr-Cyrl-CS" w:eastAsia="sr-Latn-CS"/>
              </w:rPr>
              <w:t xml:space="preserve">Природно –математички факултет, </w:t>
            </w:r>
            <w:r>
              <w:rPr>
                <w:rFonts w:eastAsia="Times New Roman"/>
                <w:sz w:val="20"/>
                <w:szCs w:val="20"/>
                <w:lang w:val="sr-Cyrl-CS" w:eastAsia="sr-Latn-CS"/>
              </w:rPr>
              <w:t>У</w:t>
            </w:r>
            <w:r w:rsidRPr="005F45C9">
              <w:rPr>
                <w:rFonts w:eastAsia="Times New Roman"/>
                <w:sz w:val="20"/>
                <w:szCs w:val="20"/>
                <w:lang w:val="sr-Cyrl-CS" w:eastAsia="sr-Latn-CS"/>
              </w:rPr>
              <w:t>НС</w:t>
            </w:r>
          </w:p>
        </w:tc>
        <w:tc>
          <w:tcPr>
            <w:tcW w:w="2746" w:type="dxa"/>
            <w:gridSpan w:val="3"/>
            <w:tcBorders>
              <w:top w:val="single" w:sz="4" w:space="0" w:color="auto"/>
              <w:left w:val="single" w:sz="4" w:space="0" w:color="auto"/>
              <w:bottom w:val="single" w:sz="4" w:space="0" w:color="auto"/>
              <w:right w:val="single" w:sz="4" w:space="0" w:color="auto"/>
            </w:tcBorders>
            <w:vAlign w:val="center"/>
          </w:tcPr>
          <w:p w:rsidR="002351C4" w:rsidRPr="005F45C9" w:rsidRDefault="002351C4" w:rsidP="00365FD3">
            <w:pPr>
              <w:widowControl w:val="0"/>
              <w:tabs>
                <w:tab w:val="left" w:pos="567"/>
              </w:tabs>
              <w:autoSpaceDE w:val="0"/>
              <w:autoSpaceDN w:val="0"/>
              <w:adjustRightInd w:val="0"/>
              <w:spacing w:after="60"/>
              <w:rPr>
                <w:rFonts w:eastAsia="Times New Roman"/>
                <w:sz w:val="20"/>
                <w:szCs w:val="20"/>
                <w:lang w:val="sr-Cyrl-CS" w:eastAsia="sr-Latn-CS"/>
              </w:rPr>
            </w:pPr>
            <w:r w:rsidRPr="005F45C9">
              <w:rPr>
                <w:rFonts w:eastAsia="Times New Roman"/>
                <w:sz w:val="20"/>
                <w:szCs w:val="20"/>
                <w:lang w:val="sr-Cyrl-CS" w:eastAsia="sr-Latn-CS"/>
              </w:rPr>
              <w:t>Математика</w:t>
            </w:r>
          </w:p>
        </w:tc>
      </w:tr>
      <w:tr w:rsidR="002351C4" w:rsidRPr="004B0977" w:rsidTr="002351C4">
        <w:trPr>
          <w:trHeight w:val="227"/>
        </w:trPr>
        <w:tc>
          <w:tcPr>
            <w:tcW w:w="2393"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Диплома</w:t>
            </w:r>
          </w:p>
        </w:tc>
        <w:tc>
          <w:tcPr>
            <w:tcW w:w="1027"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1993.</w:t>
            </w:r>
          </w:p>
        </w:tc>
        <w:tc>
          <w:tcPr>
            <w:tcW w:w="3758" w:type="dxa"/>
            <w:gridSpan w:val="5"/>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Природно –математички факултет</w:t>
            </w:r>
          </w:p>
        </w:tc>
        <w:tc>
          <w:tcPr>
            <w:tcW w:w="2746"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914094">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Математичке науке</w:t>
            </w:r>
          </w:p>
        </w:tc>
      </w:tr>
      <w:tr w:rsidR="002351C4" w:rsidRPr="004B0977"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2351C4" w:rsidRPr="004B0977" w:rsidTr="002B42F1">
        <w:trPr>
          <w:trHeight w:val="227"/>
        </w:trPr>
        <w:tc>
          <w:tcPr>
            <w:tcW w:w="51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Р.Б.</w:t>
            </w:r>
          </w:p>
        </w:tc>
        <w:tc>
          <w:tcPr>
            <w:tcW w:w="3316" w:type="dxa"/>
            <w:gridSpan w:val="4"/>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Наслов дисертације</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Име кандидата</w:t>
            </w:r>
          </w:p>
        </w:tc>
        <w:tc>
          <w:tcPr>
            <w:tcW w:w="1688" w:type="dxa"/>
            <w:gridSpan w:val="3"/>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*пријављена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одбрањена</w:t>
            </w:r>
          </w:p>
        </w:tc>
      </w:tr>
      <w:tr w:rsidR="002351C4" w:rsidRPr="004B0977" w:rsidTr="002B42F1">
        <w:trPr>
          <w:trHeight w:val="227"/>
        </w:trPr>
        <w:tc>
          <w:tcPr>
            <w:tcW w:w="514" w:type="dxa"/>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3316" w:type="dxa"/>
            <w:gridSpan w:val="4"/>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r>
      <w:tr w:rsidR="002351C4" w:rsidRPr="002B42F1"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2B42F1" w:rsidRDefault="002351C4" w:rsidP="004B0977">
            <w:pPr>
              <w:widowControl w:val="0"/>
              <w:tabs>
                <w:tab w:val="left" w:pos="567"/>
              </w:tabs>
              <w:autoSpaceDE w:val="0"/>
              <w:autoSpaceDN w:val="0"/>
              <w:adjustRightInd w:val="0"/>
              <w:spacing w:after="60"/>
              <w:rPr>
                <w:rFonts w:eastAsia="Times New Roman"/>
                <w:sz w:val="16"/>
                <w:szCs w:val="16"/>
                <w:lang w:val="sr-Cyrl-CS" w:eastAsia="sr-Latn-CS"/>
              </w:rPr>
            </w:pPr>
            <w:r w:rsidRPr="002B42F1">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2351C4" w:rsidRPr="00914094"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914094" w:rsidRDefault="002351C4" w:rsidP="002B42F1">
            <w:pPr>
              <w:widowControl w:val="0"/>
              <w:tabs>
                <w:tab w:val="left" w:pos="567"/>
              </w:tabs>
              <w:autoSpaceDE w:val="0"/>
              <w:autoSpaceDN w:val="0"/>
              <w:adjustRightInd w:val="0"/>
              <w:spacing w:after="60"/>
              <w:rPr>
                <w:rFonts w:eastAsia="Times New Roman"/>
                <w:b/>
                <w:sz w:val="16"/>
                <w:szCs w:val="16"/>
                <w:lang w:val="sr-Latn-CS" w:eastAsia="sr-Latn-CS"/>
              </w:rPr>
            </w:pPr>
            <w:r w:rsidRPr="0091409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2351C4" w:rsidRPr="00914094" w:rsidRDefault="002351C4" w:rsidP="002B42F1">
            <w:pPr>
              <w:widowControl w:val="0"/>
              <w:tabs>
                <w:tab w:val="left" w:pos="567"/>
              </w:tabs>
              <w:autoSpaceDE w:val="0"/>
              <w:autoSpaceDN w:val="0"/>
              <w:adjustRightInd w:val="0"/>
              <w:spacing w:after="60"/>
              <w:rPr>
                <w:rFonts w:eastAsia="Times New Roman"/>
                <w:b/>
                <w:sz w:val="16"/>
                <w:szCs w:val="16"/>
                <w:lang w:val="sr-Cyrl-CS" w:eastAsia="sr-Latn-CS"/>
              </w:rPr>
            </w:pPr>
            <w:r w:rsidRPr="0091409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2351C4" w:rsidRPr="004B0977" w:rsidTr="00F25B3D">
        <w:trPr>
          <w:trHeight w:val="227"/>
        </w:trPr>
        <w:tc>
          <w:tcPr>
            <w:tcW w:w="54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1.</w:t>
            </w:r>
          </w:p>
        </w:tc>
        <w:tc>
          <w:tcPr>
            <w:tcW w:w="8549" w:type="dxa"/>
            <w:gridSpan w:val="9"/>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autoSpaceDN w:val="0"/>
              <w:ind w:left="-81"/>
              <w:rPr>
                <w:rFonts w:eastAsia="Times New Roman"/>
                <w:b/>
                <w:sz w:val="20"/>
                <w:szCs w:val="20"/>
                <w:lang w:val="sr-Cyrl-CS" w:eastAsia="sr-Latn-CS"/>
              </w:rPr>
            </w:pPr>
            <w:r w:rsidRPr="004B0977">
              <w:rPr>
                <w:rFonts w:eastAsia="Times New Roman"/>
                <w:b/>
                <w:sz w:val="20"/>
                <w:szCs w:val="20"/>
                <w:lang w:val="sr-Latn-RS" w:eastAsia="sr-Latn-CS"/>
              </w:rPr>
              <w:t>M. Gorjanac Ranitović</w:t>
            </w:r>
            <w:r w:rsidRPr="004B0977">
              <w:rPr>
                <w:rFonts w:eastAsia="Times New Roman"/>
                <w:sz w:val="20"/>
                <w:szCs w:val="20"/>
                <w:lang w:val="sr-Latn-RS" w:eastAsia="sr-Latn-CS"/>
              </w:rPr>
              <w:t xml:space="preserve">, A. Tepavčević,  </w:t>
            </w:r>
            <w:r w:rsidRPr="004B0977">
              <w:rPr>
                <w:rFonts w:eastAsia="Times New Roman"/>
                <w:b/>
                <w:i/>
                <w:sz w:val="20"/>
                <w:szCs w:val="20"/>
                <w:lang w:val="sr-Latn-RS" w:eastAsia="sr-Latn-CS"/>
              </w:rPr>
              <w:t>A lattice-theoretical characterization of family of cut sets of interval-valued fuzzy sets</w:t>
            </w:r>
            <w:r w:rsidRPr="004B0977">
              <w:rPr>
                <w:rFonts w:eastAsia="Times New Roman"/>
                <w:i/>
                <w:sz w:val="20"/>
                <w:szCs w:val="20"/>
                <w:lang w:val="sr-Latn-RS" w:eastAsia="sr-Latn-CS"/>
              </w:rPr>
              <w:t xml:space="preserve">, </w:t>
            </w:r>
            <w:r w:rsidRPr="004B0977">
              <w:rPr>
                <w:rFonts w:eastAsia="Times New Roman"/>
                <w:sz w:val="20"/>
                <w:szCs w:val="20"/>
                <w:lang w:val="sr-Latn-RS" w:eastAsia="sr-Latn-CS"/>
              </w:rPr>
              <w:t>Fuzzy Sets and Systems 333 (2018), 1-10.</w:t>
            </w:r>
          </w:p>
        </w:tc>
        <w:tc>
          <w:tcPr>
            <w:tcW w:w="83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М21а</w:t>
            </w:r>
          </w:p>
        </w:tc>
      </w:tr>
      <w:tr w:rsidR="002351C4" w:rsidRPr="004B0977" w:rsidTr="00F25B3D">
        <w:trPr>
          <w:trHeight w:val="227"/>
        </w:trPr>
        <w:tc>
          <w:tcPr>
            <w:tcW w:w="54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2.</w:t>
            </w:r>
          </w:p>
        </w:tc>
        <w:tc>
          <w:tcPr>
            <w:tcW w:w="8549" w:type="dxa"/>
            <w:gridSpan w:val="9"/>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Latn-RS" w:eastAsia="sr-Latn-CS"/>
              </w:rPr>
              <w:t>M. Gorjanac Ranitović</w:t>
            </w:r>
            <w:r w:rsidRPr="004B0977">
              <w:rPr>
                <w:rFonts w:eastAsia="Times New Roman"/>
                <w:sz w:val="20"/>
                <w:szCs w:val="20"/>
                <w:lang w:val="sr-Latn-RS" w:eastAsia="sr-Latn-CS"/>
              </w:rPr>
              <w:t xml:space="preserve"> i A. Petojević,  </w:t>
            </w:r>
            <w:r w:rsidRPr="004B0977">
              <w:rPr>
                <w:rFonts w:eastAsia="Times New Roman"/>
                <w:b/>
                <w:i/>
                <w:sz w:val="20"/>
                <w:szCs w:val="20"/>
                <w:lang w:val="sr-Latn-RS" w:eastAsia="sr-Latn-CS"/>
              </w:rPr>
              <w:t>Lattice representations of interval-valued fuzzy sets</w:t>
            </w:r>
            <w:r w:rsidRPr="004B0977">
              <w:rPr>
                <w:rFonts w:eastAsia="Times New Roman"/>
                <w:i/>
                <w:sz w:val="20"/>
                <w:szCs w:val="20"/>
                <w:lang w:val="sr-Latn-RS" w:eastAsia="sr-Latn-CS"/>
              </w:rPr>
              <w:t xml:space="preserve">, </w:t>
            </w:r>
            <w:r w:rsidRPr="004B0977">
              <w:rPr>
                <w:rFonts w:eastAsia="Times New Roman"/>
                <w:sz w:val="20"/>
                <w:szCs w:val="20"/>
                <w:lang w:val="sr-Latn-RS" w:eastAsia="sr-Latn-CS"/>
              </w:rPr>
              <w:t>Fuzzy Sets and Systems  236, 2014,  50-57</w:t>
            </w:r>
          </w:p>
        </w:tc>
        <w:tc>
          <w:tcPr>
            <w:tcW w:w="83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М21а</w:t>
            </w:r>
          </w:p>
        </w:tc>
      </w:tr>
      <w:tr w:rsidR="002351C4" w:rsidRPr="004B0977" w:rsidTr="00F25B3D">
        <w:trPr>
          <w:trHeight w:val="227"/>
        </w:trPr>
        <w:tc>
          <w:tcPr>
            <w:tcW w:w="54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3.</w:t>
            </w:r>
          </w:p>
        </w:tc>
        <w:tc>
          <w:tcPr>
            <w:tcW w:w="8549" w:type="dxa"/>
            <w:gridSpan w:val="9"/>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Latn-RS" w:eastAsia="sr-Latn-CS"/>
              </w:rPr>
              <w:t>M. Gorjanac Ranitović</w:t>
            </w:r>
            <w:r w:rsidRPr="004B0977">
              <w:rPr>
                <w:rFonts w:eastAsia="Times New Roman"/>
                <w:sz w:val="20"/>
                <w:szCs w:val="20"/>
                <w:lang w:val="sr-Latn-RS" w:eastAsia="sr-Latn-CS"/>
              </w:rPr>
              <w:t>, A. Tepavčević,</w:t>
            </w:r>
            <w:r w:rsidRPr="004B0977">
              <w:rPr>
                <w:rFonts w:eastAsia="Times New Roman"/>
                <w:b/>
                <w:sz w:val="20"/>
                <w:szCs w:val="20"/>
                <w:lang w:val="sr-Latn-RS" w:eastAsia="sr-Latn-CS"/>
              </w:rPr>
              <w:t xml:space="preserve"> </w:t>
            </w:r>
            <w:r w:rsidRPr="004B0977">
              <w:rPr>
                <w:rFonts w:eastAsia="Times New Roman"/>
                <w:b/>
                <w:i/>
                <w:sz w:val="20"/>
                <w:szCs w:val="20"/>
                <w:lang w:val="sr-Latn-RS" w:eastAsia="sr-Latn-CS"/>
              </w:rPr>
              <w:t xml:space="preserve">General form of lattice valued fuzzy set under the cutworthy approach, </w:t>
            </w:r>
            <w:r w:rsidRPr="004B0977">
              <w:rPr>
                <w:rFonts w:eastAsia="Times New Roman"/>
                <w:sz w:val="20"/>
                <w:szCs w:val="20"/>
                <w:lang w:val="sr-Latn-RS" w:eastAsia="sr-Latn-CS"/>
              </w:rPr>
              <w:t>Fuzzy Sets and Systems 158/11, 2007,   1213-1216</w:t>
            </w:r>
            <w:r w:rsidRPr="004B0977">
              <w:rPr>
                <w:rFonts w:eastAsia="Times New Roman"/>
                <w:sz w:val="20"/>
                <w:szCs w:val="20"/>
                <w:lang w:val="sr-Cyrl-CS" w:eastAsia="sr-Latn-CS"/>
              </w:rPr>
              <w:t xml:space="preserve">. </w:t>
            </w:r>
            <w:r w:rsidRPr="004B0977">
              <w:rPr>
                <w:rFonts w:eastAsia="Times New Roman"/>
                <w:sz w:val="20"/>
                <w:szCs w:val="20"/>
                <w:lang w:val="sr-Cyrl-CS" w:eastAsia="sr-Latn-CS"/>
              </w:rPr>
              <w:tab/>
            </w:r>
          </w:p>
        </w:tc>
        <w:tc>
          <w:tcPr>
            <w:tcW w:w="83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М21</w:t>
            </w:r>
          </w:p>
        </w:tc>
      </w:tr>
      <w:tr w:rsidR="002351C4" w:rsidRPr="004B0977" w:rsidTr="00F25B3D">
        <w:trPr>
          <w:trHeight w:val="227"/>
        </w:trPr>
        <w:tc>
          <w:tcPr>
            <w:tcW w:w="54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4.</w:t>
            </w:r>
          </w:p>
        </w:tc>
        <w:tc>
          <w:tcPr>
            <w:tcW w:w="8549" w:type="dxa"/>
            <w:gridSpan w:val="9"/>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ind w:left="-81" w:firstLine="81"/>
              <w:contextualSpacing/>
              <w:jc w:val="both"/>
              <w:rPr>
                <w:sz w:val="20"/>
                <w:szCs w:val="20"/>
                <w:lang w:val="sr-Cyrl-CS"/>
              </w:rPr>
            </w:pPr>
            <w:r w:rsidRPr="004B0977">
              <w:rPr>
                <w:sz w:val="20"/>
                <w:szCs w:val="20"/>
                <w:lang w:val="sr-Latn-CS"/>
              </w:rPr>
              <w:t xml:space="preserve">M. Bošnjak Stepanović, </w:t>
            </w:r>
            <w:r w:rsidRPr="004B0977">
              <w:rPr>
                <w:b/>
                <w:sz w:val="20"/>
                <w:szCs w:val="20"/>
                <w:lang w:val="sr-Latn-CS"/>
              </w:rPr>
              <w:t>M. Gorjanac Ranitović</w:t>
            </w:r>
            <w:r w:rsidRPr="004B0977">
              <w:rPr>
                <w:sz w:val="20"/>
                <w:szCs w:val="20"/>
                <w:lang w:val="sr-Latn-CS"/>
              </w:rPr>
              <w:t xml:space="preserve">, (2016), </w:t>
            </w:r>
            <w:r w:rsidRPr="004B0977">
              <w:rPr>
                <w:b/>
                <w:i/>
                <w:sz w:val="20"/>
                <w:szCs w:val="20"/>
                <w:lang w:val="sr-Latn-CS"/>
              </w:rPr>
              <w:t>Implementation of the project-based learning – opportunities and difficulties,</w:t>
            </w:r>
            <w:r w:rsidRPr="004B0977">
              <w:rPr>
                <w:sz w:val="20"/>
                <w:szCs w:val="20"/>
                <w:lang w:val="sr-Latn-CS"/>
              </w:rPr>
              <w:t xml:space="preserve"> in: Education and Social Challenges at the Beginning of the 21</w:t>
            </w:r>
            <w:r w:rsidRPr="004B0977">
              <w:rPr>
                <w:sz w:val="20"/>
                <w:szCs w:val="20"/>
                <w:vertAlign w:val="superscript"/>
                <w:lang w:val="sr-Latn-CS"/>
              </w:rPr>
              <w:t>st</w:t>
            </w:r>
            <w:r w:rsidRPr="004B0977">
              <w:rPr>
                <w:sz w:val="20"/>
                <w:szCs w:val="20"/>
                <w:lang w:val="sr-Latn-CS"/>
              </w:rPr>
              <w:t xml:space="preserve"> Century, University of Novi Sad, faculty of Education in Sombor, 152-172, ISBN: </w:t>
            </w:r>
            <w:r w:rsidRPr="004B0977">
              <w:rPr>
                <w:rFonts w:eastAsia="Times New Roman"/>
                <w:bCs/>
                <w:color w:val="000000"/>
                <w:sz w:val="20"/>
                <w:szCs w:val="20"/>
              </w:rPr>
              <w:t>978-86-6095-052-1.</w:t>
            </w:r>
          </w:p>
        </w:tc>
        <w:tc>
          <w:tcPr>
            <w:tcW w:w="83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М14</w:t>
            </w:r>
          </w:p>
        </w:tc>
      </w:tr>
      <w:tr w:rsidR="002351C4" w:rsidRPr="004B0977" w:rsidTr="00F25B3D">
        <w:trPr>
          <w:trHeight w:val="227"/>
        </w:trPr>
        <w:tc>
          <w:tcPr>
            <w:tcW w:w="54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5.</w:t>
            </w:r>
          </w:p>
        </w:tc>
        <w:tc>
          <w:tcPr>
            <w:tcW w:w="8549" w:type="dxa"/>
            <w:gridSpan w:val="9"/>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Latn-RS" w:eastAsia="sr-Latn-CS"/>
              </w:rPr>
              <w:t xml:space="preserve">A. Tepavčević, </w:t>
            </w:r>
            <w:r w:rsidRPr="004B0977">
              <w:rPr>
                <w:rFonts w:eastAsia="Times New Roman"/>
                <w:b/>
                <w:sz w:val="20"/>
                <w:szCs w:val="20"/>
                <w:lang w:val="sr-Latn-RS" w:eastAsia="sr-Latn-CS"/>
              </w:rPr>
              <w:t>M. Gorjanac Ranitović</w:t>
            </w:r>
            <w:r w:rsidRPr="004B0977">
              <w:rPr>
                <w:rFonts w:eastAsia="Times New Roman"/>
                <w:sz w:val="20"/>
                <w:szCs w:val="20"/>
                <w:lang w:val="sr-Latn-RS" w:eastAsia="sr-Latn-CS"/>
              </w:rPr>
              <w:t>,</w:t>
            </w:r>
            <w:r w:rsidRPr="004B0977">
              <w:rPr>
                <w:rFonts w:eastAsia="Times New Roman"/>
                <w:b/>
                <w:sz w:val="20"/>
                <w:szCs w:val="20"/>
                <w:lang w:val="sr-Latn-RS" w:eastAsia="sr-Latn-CS"/>
              </w:rPr>
              <w:t xml:space="preserve"> </w:t>
            </w:r>
            <w:r w:rsidRPr="004B0977">
              <w:rPr>
                <w:rFonts w:eastAsia="Times New Roman"/>
                <w:b/>
                <w:i/>
                <w:sz w:val="20"/>
                <w:szCs w:val="20"/>
                <w:lang w:val="sr-Latn-RS" w:eastAsia="sr-Latn-CS"/>
              </w:rPr>
              <w:t xml:space="preserve">General form of lattice valued intuitionistic fuzzy sets, </w:t>
            </w:r>
            <w:r w:rsidRPr="004B0977">
              <w:rPr>
                <w:rFonts w:eastAsia="Times New Roman"/>
                <w:sz w:val="20"/>
                <w:szCs w:val="20"/>
                <w:lang w:val="sr-Latn-RS" w:eastAsia="sr-Latn-CS"/>
              </w:rPr>
              <w:t>In: Computational intelligence, Theory and Applications, International Conference  9th Fuzzy Days  in Dortmund, Germany, 2006 Proceeding, Springer BerlinHeidelberg, 2006, pg. 375-381.</w:t>
            </w:r>
          </w:p>
        </w:tc>
        <w:tc>
          <w:tcPr>
            <w:tcW w:w="83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М33</w:t>
            </w:r>
          </w:p>
        </w:tc>
      </w:tr>
      <w:tr w:rsidR="002351C4" w:rsidRPr="004B0977" w:rsidTr="00F25B3D">
        <w:trPr>
          <w:trHeight w:val="227"/>
        </w:trPr>
        <w:tc>
          <w:tcPr>
            <w:tcW w:w="541"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6.</w:t>
            </w:r>
          </w:p>
        </w:tc>
        <w:tc>
          <w:tcPr>
            <w:tcW w:w="8549" w:type="dxa"/>
            <w:gridSpan w:val="9"/>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rPr>
                <w:rFonts w:eastAsia="Times New Roman"/>
                <w:sz w:val="20"/>
                <w:szCs w:val="20"/>
                <w:lang w:val="sr-Cyrl-CS"/>
              </w:rPr>
            </w:pPr>
            <w:r w:rsidRPr="004B0977">
              <w:rPr>
                <w:rFonts w:eastAsia="Times New Roman"/>
                <w:sz w:val="20"/>
                <w:szCs w:val="20"/>
                <w:lang w:val="sr-Latn-CS"/>
              </w:rPr>
              <w:t xml:space="preserve">A. Tepavčević, </w:t>
            </w:r>
            <w:r w:rsidRPr="004B0977">
              <w:rPr>
                <w:rFonts w:eastAsia="Times New Roman"/>
                <w:b/>
                <w:sz w:val="20"/>
                <w:szCs w:val="20"/>
                <w:lang w:val="sr-Latn-CS"/>
              </w:rPr>
              <w:t>M. Gorjanac Ranitović</w:t>
            </w:r>
            <w:r w:rsidRPr="004B0977">
              <w:rPr>
                <w:rFonts w:eastAsia="Times New Roman"/>
                <w:sz w:val="20"/>
                <w:szCs w:val="20"/>
              </w:rPr>
              <w:t xml:space="preserve">: </w:t>
            </w:r>
            <w:r w:rsidRPr="004B0977">
              <w:rPr>
                <w:rFonts w:eastAsia="Times New Roman"/>
                <w:b/>
                <w:i/>
                <w:sz w:val="20"/>
                <w:szCs w:val="20"/>
              </w:rPr>
              <w:t>Join between planar lattices and slim lattices</w:t>
            </w:r>
            <w:r w:rsidRPr="004B0977">
              <w:rPr>
                <w:rFonts w:eastAsia="Times New Roman"/>
                <w:sz w:val="20"/>
                <w:szCs w:val="20"/>
              </w:rPr>
              <w:t xml:space="preserve">, </w:t>
            </w:r>
            <w:proofErr w:type="spellStart"/>
            <w:r w:rsidRPr="004B0977">
              <w:rPr>
                <w:rFonts w:eastAsia="Times New Roman"/>
                <w:sz w:val="20"/>
                <w:szCs w:val="20"/>
              </w:rPr>
              <w:t>Zbornik</w:t>
            </w:r>
            <w:proofErr w:type="spellEnd"/>
            <w:r w:rsidRPr="004B0977">
              <w:rPr>
                <w:rFonts w:eastAsia="Times New Roman"/>
                <w:sz w:val="20"/>
                <w:szCs w:val="20"/>
              </w:rPr>
              <w:t xml:space="preserve"> </w:t>
            </w:r>
            <w:proofErr w:type="spellStart"/>
            <w:r w:rsidRPr="004B0977">
              <w:rPr>
                <w:rFonts w:eastAsia="Times New Roman"/>
                <w:sz w:val="20"/>
                <w:szCs w:val="20"/>
              </w:rPr>
              <w:t>apstrakata</w:t>
            </w:r>
            <w:proofErr w:type="spellEnd"/>
            <w:r w:rsidRPr="004B0977">
              <w:rPr>
                <w:rFonts w:eastAsia="Times New Roman"/>
                <w:sz w:val="20"/>
                <w:szCs w:val="20"/>
              </w:rPr>
              <w:t xml:space="preserve"> AAA89 89th Workshop on General Algebra, Dresden, </w:t>
            </w:r>
            <w:proofErr w:type="spellStart"/>
            <w:r w:rsidRPr="004B0977">
              <w:rPr>
                <w:rFonts w:eastAsia="Times New Roman"/>
                <w:sz w:val="20"/>
                <w:szCs w:val="20"/>
              </w:rPr>
              <w:t>Nemačka</w:t>
            </w:r>
            <w:proofErr w:type="spellEnd"/>
            <w:r w:rsidRPr="004B0977">
              <w:rPr>
                <w:rFonts w:eastAsia="Times New Roman"/>
                <w:sz w:val="20"/>
                <w:szCs w:val="20"/>
              </w:rPr>
              <w:t>, str. 43, 2015. </w:t>
            </w:r>
          </w:p>
        </w:tc>
        <w:tc>
          <w:tcPr>
            <w:tcW w:w="834" w:type="dxa"/>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М34</w:t>
            </w:r>
          </w:p>
        </w:tc>
      </w:tr>
      <w:tr w:rsidR="002351C4" w:rsidRPr="004B0977" w:rsidTr="002B42F1">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b/>
                <w:sz w:val="20"/>
                <w:szCs w:val="20"/>
                <w:lang w:val="sr-Cyrl-CS" w:eastAsia="sr-Latn-CS"/>
              </w:rPr>
              <w:t>Збирни подаци научне активност наставника</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Укупан број цитата, без аутоцитата</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28</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Укупан број радова са SCI (или SSCI) листе</w:t>
            </w:r>
          </w:p>
        </w:tc>
        <w:tc>
          <w:tcPr>
            <w:tcW w:w="5245"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3</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Тренутно учешће на пројектима</w:t>
            </w:r>
          </w:p>
        </w:tc>
        <w:tc>
          <w:tcPr>
            <w:tcW w:w="2334" w:type="dxa"/>
            <w:gridSpan w:val="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val="sr-Cyrl-CS" w:eastAsia="sr-Latn-CS"/>
              </w:rPr>
              <w:t>Домаћи</w:t>
            </w:r>
            <w:r>
              <w:rPr>
                <w:rFonts w:eastAsia="Times New Roman"/>
                <w:sz w:val="20"/>
                <w:szCs w:val="20"/>
                <w:lang w:val="sr-Cyrl-CS" w:eastAsia="sr-Latn-CS"/>
              </w:rPr>
              <w:t>:</w:t>
            </w:r>
            <w:r w:rsidRPr="004B0977">
              <w:rPr>
                <w:rFonts w:eastAsia="Times New Roman"/>
                <w:sz w:val="20"/>
                <w:szCs w:val="20"/>
                <w:lang w:eastAsia="sr-Latn-CS"/>
              </w:rPr>
              <w:t xml:space="preserve"> 2</w:t>
            </w:r>
          </w:p>
        </w:tc>
        <w:tc>
          <w:tcPr>
            <w:tcW w:w="2911" w:type="dxa"/>
            <w:gridSpan w:val="4"/>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Међународни</w:t>
            </w:r>
            <w:r>
              <w:rPr>
                <w:rFonts w:eastAsia="Times New Roman"/>
                <w:sz w:val="20"/>
                <w:szCs w:val="20"/>
                <w:lang w:val="sr-Cyrl-CS" w:eastAsia="sr-Latn-CS"/>
              </w:rPr>
              <w:t>: -</w:t>
            </w:r>
          </w:p>
        </w:tc>
      </w:tr>
      <w:tr w:rsidR="002351C4" w:rsidRPr="004B0977" w:rsidTr="002B42F1">
        <w:tc>
          <w:tcPr>
            <w:tcW w:w="4679" w:type="dxa"/>
            <w:gridSpan w:val="6"/>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 xml:space="preserve">Усавршавања </w:t>
            </w:r>
          </w:p>
        </w:tc>
        <w:tc>
          <w:tcPr>
            <w:tcW w:w="5245" w:type="dxa"/>
            <w:gridSpan w:val="6"/>
            <w:tcBorders>
              <w:top w:val="single" w:sz="4" w:space="0" w:color="auto"/>
              <w:left w:val="single" w:sz="4" w:space="0" w:color="auto"/>
              <w:bottom w:val="single" w:sz="4" w:space="0" w:color="auto"/>
              <w:right w:val="single" w:sz="4" w:space="0" w:color="auto"/>
            </w:tcBorders>
            <w:vAlign w:val="center"/>
          </w:tcPr>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p>
        </w:tc>
      </w:tr>
      <w:tr w:rsidR="002351C4" w:rsidRPr="004B0977" w:rsidTr="002B42F1">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2351C4" w:rsidRPr="004B0977" w:rsidRDefault="002351C4" w:rsidP="004B0977">
            <w:pPr>
              <w:widowControl w:val="0"/>
              <w:tabs>
                <w:tab w:val="left" w:pos="567"/>
              </w:tabs>
              <w:autoSpaceDE w:val="0"/>
              <w:autoSpaceDN w:val="0"/>
              <w:adjustRightInd w:val="0"/>
              <w:rPr>
                <w:rFonts w:eastAsia="Times New Roman"/>
                <w:sz w:val="20"/>
                <w:szCs w:val="20"/>
                <w:lang w:val="sr-Cyrl-RS" w:eastAsia="sr-Latn-CS"/>
              </w:rPr>
            </w:pPr>
            <w:r w:rsidRPr="004B0977">
              <w:rPr>
                <w:rFonts w:eastAsia="Times New Roman"/>
                <w:sz w:val="20"/>
                <w:szCs w:val="20"/>
                <w:lang w:val="sr-Cyrl-CS" w:eastAsia="sr-Latn-CS"/>
              </w:rPr>
              <w:t>Други подаци које сматрате релевантним</w:t>
            </w:r>
          </w:p>
          <w:p w:rsidR="002351C4" w:rsidRPr="004B0977" w:rsidRDefault="002351C4" w:rsidP="004B0977">
            <w:pPr>
              <w:widowControl w:val="0"/>
              <w:tabs>
                <w:tab w:val="left" w:pos="567"/>
              </w:tabs>
              <w:autoSpaceDE w:val="0"/>
              <w:autoSpaceDN w:val="0"/>
              <w:adjustRightInd w:val="0"/>
              <w:rPr>
                <w:rFonts w:eastAsia="Times New Roman"/>
                <w:sz w:val="20"/>
                <w:szCs w:val="20"/>
                <w:lang w:val="sr-Cyrl-CS" w:eastAsia="sr-Latn-CS"/>
              </w:rPr>
            </w:pPr>
            <w:r w:rsidRPr="004B0977">
              <w:rPr>
                <w:rFonts w:eastAsia="Times New Roman"/>
                <w:sz w:val="20"/>
                <w:szCs w:val="20"/>
                <w:lang w:val="sr-Cyrl-CS" w:eastAsia="sr-Latn-CS"/>
              </w:rPr>
              <w:t>Учешће у пројектима: Научно истраживачки пројекат Покрајинског секретаријата за науку и технолошки развој АПВ број 114-451-983/2011-01, 2011 – 2014. године, руководилац пројекта проф. др Станко Цвјетићанин;</w:t>
            </w:r>
          </w:p>
          <w:p w:rsidR="002351C4" w:rsidRPr="004B0977" w:rsidRDefault="002351C4" w:rsidP="004B0977">
            <w:pPr>
              <w:widowControl w:val="0"/>
              <w:tabs>
                <w:tab w:val="left" w:pos="567"/>
              </w:tabs>
              <w:autoSpaceDE w:val="0"/>
              <w:autoSpaceDN w:val="0"/>
              <w:adjustRightInd w:val="0"/>
              <w:spacing w:after="60"/>
              <w:rPr>
                <w:rFonts w:eastAsia="Times New Roman"/>
                <w:sz w:val="20"/>
                <w:szCs w:val="20"/>
                <w:lang w:val="sr-Cyrl-CS" w:eastAsia="sr-Latn-CS"/>
              </w:rPr>
            </w:pPr>
            <w:r w:rsidRPr="004B0977">
              <w:rPr>
                <w:rFonts w:eastAsia="Times New Roman"/>
                <w:sz w:val="20"/>
                <w:szCs w:val="20"/>
                <w:lang w:val="sr-Cyrl-CS" w:eastAsia="sr-Latn-CS"/>
              </w:rPr>
              <w:t>Краткорочни пројекат од посебног интереса за одрживи развој АПВ број 142-451-2576/2017-01/01, 2017. године, руководилац пројекта проф. др Станко Цвјетићанин;</w:t>
            </w:r>
          </w:p>
          <w:p w:rsidR="002351C4" w:rsidRPr="004B0977" w:rsidRDefault="002351C4" w:rsidP="004B0977">
            <w:pPr>
              <w:widowControl w:val="0"/>
              <w:tabs>
                <w:tab w:val="left" w:pos="567"/>
              </w:tabs>
              <w:autoSpaceDE w:val="0"/>
              <w:autoSpaceDN w:val="0"/>
              <w:adjustRightInd w:val="0"/>
              <w:spacing w:after="60"/>
              <w:rPr>
                <w:rFonts w:eastAsia="Times New Roman"/>
                <w:sz w:val="20"/>
                <w:szCs w:val="20"/>
                <w:lang w:eastAsia="sr-Latn-CS"/>
              </w:rPr>
            </w:pPr>
            <w:r w:rsidRPr="004B0977">
              <w:rPr>
                <w:rFonts w:eastAsia="Times New Roman"/>
                <w:sz w:val="20"/>
                <w:szCs w:val="20"/>
                <w:lang w:val="sr-Cyrl-CS" w:eastAsia="sr-Latn-CS"/>
              </w:rPr>
              <w:t>ТЕМПУС пројекат бр. 516762-</w:t>
            </w:r>
            <w:r w:rsidRPr="004B0977">
              <w:rPr>
                <w:rFonts w:eastAsia="Times New Roman"/>
                <w:sz w:val="20"/>
                <w:szCs w:val="20"/>
                <w:lang w:val="hr-HR" w:eastAsia="sr-Latn-CS"/>
              </w:rPr>
              <w:t>TEMPUS-1-2011-1-RS-TEMPUS-JPCR, 2011 – 2014.</w:t>
            </w:r>
          </w:p>
        </w:tc>
      </w:tr>
      <w:tr w:rsidR="002351C4" w:rsidRPr="004B0977" w:rsidTr="009625A2">
        <w:tc>
          <w:tcPr>
            <w:tcW w:w="9924" w:type="dxa"/>
            <w:gridSpan w:val="12"/>
            <w:tcBorders>
              <w:top w:val="single" w:sz="4" w:space="0" w:color="auto"/>
              <w:left w:val="single" w:sz="4" w:space="0" w:color="auto"/>
              <w:bottom w:val="single" w:sz="4" w:space="0" w:color="auto"/>
              <w:right w:val="single" w:sz="4" w:space="0" w:color="auto"/>
            </w:tcBorders>
            <w:vAlign w:val="center"/>
          </w:tcPr>
          <w:p w:rsidR="002351C4" w:rsidRPr="004B0977" w:rsidRDefault="002351C4" w:rsidP="009625A2">
            <w:pPr>
              <w:widowControl w:val="0"/>
              <w:tabs>
                <w:tab w:val="left" w:pos="567"/>
              </w:tabs>
              <w:autoSpaceDE w:val="0"/>
              <w:autoSpaceDN w:val="0"/>
              <w:adjustRightInd w:val="0"/>
              <w:jc w:val="right"/>
              <w:rPr>
                <w:rFonts w:eastAsia="Times New Roman"/>
                <w:sz w:val="20"/>
                <w:szCs w:val="20"/>
                <w:lang w:val="sr-Cyrl-CS" w:eastAsia="sr-Latn-CS"/>
              </w:rPr>
            </w:pP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4B0977" w:rsidRDefault="004B0977"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4B0977" w:rsidRDefault="004B0977" w:rsidP="00E36EE2">
      <w:pPr>
        <w:rPr>
          <w:sz w:val="20"/>
          <w:szCs w:val="20"/>
          <w:lang w:val="sr-Cyrl-RS"/>
        </w:r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
        <w:gridCol w:w="1762"/>
        <w:gridCol w:w="1228"/>
        <w:gridCol w:w="210"/>
        <w:gridCol w:w="848"/>
        <w:gridCol w:w="1857"/>
        <w:gridCol w:w="395"/>
        <w:gridCol w:w="82"/>
        <w:gridCol w:w="1211"/>
        <w:gridCol w:w="1046"/>
        <w:gridCol w:w="655"/>
      </w:tblGrid>
      <w:tr w:rsidR="000538EE" w:rsidRPr="000538EE" w:rsidTr="00B85A64">
        <w:trPr>
          <w:trHeight w:val="227"/>
        </w:trPr>
        <w:tc>
          <w:tcPr>
            <w:tcW w:w="3620" w:type="dxa"/>
            <w:gridSpan w:val="4"/>
            <w:tcBorders>
              <w:top w:val="single" w:sz="4" w:space="0" w:color="auto"/>
              <w:left w:val="single" w:sz="4" w:space="0" w:color="auto"/>
              <w:bottom w:val="single" w:sz="4" w:space="0" w:color="auto"/>
              <w:right w:val="single" w:sz="4" w:space="0" w:color="auto"/>
            </w:tcBorders>
            <w:vAlign w:val="center"/>
            <w:hideMark/>
          </w:tcPr>
          <w:p w:rsidR="000538EE" w:rsidRPr="000538EE" w:rsidRDefault="000538EE"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b/>
                <w:sz w:val="20"/>
                <w:szCs w:val="20"/>
                <w:lang w:val="sr-Cyrl-CS" w:eastAsia="sr-Latn-CS"/>
              </w:rPr>
              <w:lastRenderedPageBreak/>
              <w:t>Име и презиме</w:t>
            </w:r>
          </w:p>
        </w:tc>
        <w:tc>
          <w:tcPr>
            <w:tcW w:w="6304" w:type="dxa"/>
            <w:gridSpan w:val="8"/>
            <w:tcBorders>
              <w:top w:val="single" w:sz="4" w:space="0" w:color="auto"/>
              <w:left w:val="single" w:sz="4" w:space="0" w:color="auto"/>
              <w:bottom w:val="single" w:sz="4" w:space="0" w:color="auto"/>
              <w:right w:val="single" w:sz="4" w:space="0" w:color="auto"/>
            </w:tcBorders>
            <w:vAlign w:val="center"/>
            <w:hideMark/>
          </w:tcPr>
          <w:p w:rsidR="000538EE" w:rsidRPr="000538EE" w:rsidRDefault="000538EE"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 xml:space="preserve">Бојан </w:t>
            </w:r>
            <w:bookmarkStart w:id="4" w:name="Лазић"/>
            <w:r w:rsidRPr="000538EE">
              <w:rPr>
                <w:rFonts w:eastAsia="Times New Roman"/>
                <w:sz w:val="20"/>
                <w:szCs w:val="20"/>
                <w:lang w:val="sr-Cyrl-CS" w:eastAsia="sr-Latn-CS"/>
              </w:rPr>
              <w:t>Лазић</w:t>
            </w:r>
            <w:bookmarkEnd w:id="4"/>
          </w:p>
        </w:tc>
      </w:tr>
      <w:tr w:rsidR="000538EE" w:rsidRPr="000538EE" w:rsidTr="00B85A64">
        <w:trPr>
          <w:trHeight w:val="227"/>
        </w:trPr>
        <w:tc>
          <w:tcPr>
            <w:tcW w:w="3620" w:type="dxa"/>
            <w:gridSpan w:val="4"/>
            <w:tcBorders>
              <w:top w:val="single" w:sz="4" w:space="0" w:color="auto"/>
              <w:left w:val="single" w:sz="4" w:space="0" w:color="auto"/>
              <w:bottom w:val="single" w:sz="4" w:space="0" w:color="auto"/>
              <w:right w:val="single" w:sz="4" w:space="0" w:color="auto"/>
            </w:tcBorders>
            <w:vAlign w:val="center"/>
            <w:hideMark/>
          </w:tcPr>
          <w:p w:rsidR="000538EE" w:rsidRPr="000538EE" w:rsidRDefault="000538EE"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b/>
                <w:sz w:val="20"/>
                <w:szCs w:val="20"/>
                <w:lang w:val="sr-Cyrl-CS" w:eastAsia="sr-Latn-CS"/>
              </w:rPr>
              <w:t>Звање</w:t>
            </w:r>
          </w:p>
        </w:tc>
        <w:tc>
          <w:tcPr>
            <w:tcW w:w="6304" w:type="dxa"/>
            <w:gridSpan w:val="8"/>
            <w:tcBorders>
              <w:top w:val="single" w:sz="4" w:space="0" w:color="auto"/>
              <w:left w:val="single" w:sz="4" w:space="0" w:color="auto"/>
              <w:bottom w:val="single" w:sz="4" w:space="0" w:color="auto"/>
              <w:right w:val="single" w:sz="4" w:space="0" w:color="auto"/>
            </w:tcBorders>
            <w:vAlign w:val="center"/>
            <w:hideMark/>
          </w:tcPr>
          <w:p w:rsidR="000538EE" w:rsidRPr="000538EE" w:rsidRDefault="000538EE"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Доцент</w:t>
            </w:r>
          </w:p>
        </w:tc>
      </w:tr>
      <w:tr w:rsidR="000538EE" w:rsidRPr="000538EE" w:rsidTr="00B85A64">
        <w:trPr>
          <w:trHeight w:val="227"/>
        </w:trPr>
        <w:tc>
          <w:tcPr>
            <w:tcW w:w="3620" w:type="dxa"/>
            <w:gridSpan w:val="4"/>
            <w:tcBorders>
              <w:top w:val="single" w:sz="4" w:space="0" w:color="auto"/>
              <w:left w:val="single" w:sz="4" w:space="0" w:color="auto"/>
              <w:bottom w:val="single" w:sz="4" w:space="0" w:color="auto"/>
              <w:right w:val="single" w:sz="4" w:space="0" w:color="auto"/>
            </w:tcBorders>
            <w:vAlign w:val="center"/>
            <w:hideMark/>
          </w:tcPr>
          <w:p w:rsidR="000538EE" w:rsidRPr="000538EE" w:rsidRDefault="000538EE"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b/>
                <w:sz w:val="20"/>
                <w:szCs w:val="20"/>
                <w:lang w:val="sr-Cyrl-CS" w:eastAsia="sr-Latn-CS"/>
              </w:rPr>
              <w:t>Ужа научна област</w:t>
            </w:r>
          </w:p>
        </w:tc>
        <w:tc>
          <w:tcPr>
            <w:tcW w:w="6304" w:type="dxa"/>
            <w:gridSpan w:val="8"/>
            <w:tcBorders>
              <w:top w:val="single" w:sz="4" w:space="0" w:color="auto"/>
              <w:left w:val="single" w:sz="4" w:space="0" w:color="auto"/>
              <w:bottom w:val="single" w:sz="4" w:space="0" w:color="auto"/>
              <w:right w:val="single" w:sz="4" w:space="0" w:color="auto"/>
            </w:tcBorders>
            <w:vAlign w:val="center"/>
            <w:hideMark/>
          </w:tcPr>
          <w:p w:rsidR="000538EE" w:rsidRPr="000538EE" w:rsidRDefault="000538EE"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Методика наставе математике</w:t>
            </w:r>
          </w:p>
        </w:tc>
      </w:tr>
      <w:tr w:rsidR="00914094" w:rsidRPr="000538EE" w:rsidTr="00B85A64">
        <w:trPr>
          <w:trHeight w:val="227"/>
        </w:trPr>
        <w:tc>
          <w:tcPr>
            <w:tcW w:w="2392" w:type="dxa"/>
            <w:gridSpan w:val="3"/>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b/>
                <w:sz w:val="20"/>
                <w:szCs w:val="20"/>
                <w:lang w:val="sr-Cyrl-CS" w:eastAsia="sr-Latn-CS"/>
              </w:rPr>
              <w:t>Академска каријера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 xml:space="preserve">Година </w:t>
            </w:r>
          </w:p>
        </w:tc>
        <w:tc>
          <w:tcPr>
            <w:tcW w:w="3310" w:type="dxa"/>
            <w:gridSpan w:val="4"/>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 xml:space="preserve">Институција </w:t>
            </w:r>
          </w:p>
        </w:tc>
        <w:tc>
          <w:tcPr>
            <w:tcW w:w="2994" w:type="dxa"/>
            <w:gridSpan w:val="4"/>
            <w:tcBorders>
              <w:top w:val="single" w:sz="4" w:space="0" w:color="auto"/>
              <w:left w:val="single" w:sz="4" w:space="0" w:color="auto"/>
              <w:bottom w:val="single" w:sz="4" w:space="0" w:color="auto"/>
              <w:right w:val="single" w:sz="4" w:space="0" w:color="auto"/>
            </w:tcBorders>
            <w:vAlign w:val="center"/>
            <w:hideMark/>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914094" w:rsidRPr="000538EE" w:rsidTr="00B85A64">
        <w:trPr>
          <w:trHeight w:val="227"/>
        </w:trPr>
        <w:tc>
          <w:tcPr>
            <w:tcW w:w="2392" w:type="dxa"/>
            <w:gridSpan w:val="3"/>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Избор у звање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2016.</w:t>
            </w:r>
          </w:p>
        </w:tc>
        <w:tc>
          <w:tcPr>
            <w:tcW w:w="3310" w:type="dxa"/>
            <w:gridSpan w:val="4"/>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Педагошки факултет у Сомбору</w:t>
            </w:r>
          </w:p>
        </w:tc>
        <w:tc>
          <w:tcPr>
            <w:tcW w:w="2994" w:type="dxa"/>
            <w:gridSpan w:val="4"/>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Методика наставе математике</w:t>
            </w:r>
          </w:p>
        </w:tc>
      </w:tr>
      <w:tr w:rsidR="00914094" w:rsidRPr="000538EE" w:rsidTr="00B85A64">
        <w:trPr>
          <w:trHeight w:val="227"/>
        </w:trPr>
        <w:tc>
          <w:tcPr>
            <w:tcW w:w="2392" w:type="dxa"/>
            <w:gridSpan w:val="3"/>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Докторат</w:t>
            </w:r>
          </w:p>
        </w:tc>
        <w:tc>
          <w:tcPr>
            <w:tcW w:w="1228" w:type="dxa"/>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2015.</w:t>
            </w:r>
          </w:p>
        </w:tc>
        <w:tc>
          <w:tcPr>
            <w:tcW w:w="3310" w:type="dxa"/>
            <w:gridSpan w:val="4"/>
            <w:tcBorders>
              <w:top w:val="single" w:sz="4" w:space="0" w:color="auto"/>
              <w:left w:val="single" w:sz="4" w:space="0" w:color="auto"/>
              <w:bottom w:val="single" w:sz="4" w:space="0" w:color="auto"/>
              <w:right w:val="single" w:sz="4" w:space="0" w:color="auto"/>
            </w:tcBorders>
            <w:vAlign w:val="center"/>
            <w:hideMark/>
          </w:tcPr>
          <w:p w:rsidR="00914094" w:rsidRPr="000538EE" w:rsidRDefault="00914094"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Учитељски факултет у Београду</w:t>
            </w:r>
          </w:p>
        </w:tc>
        <w:tc>
          <w:tcPr>
            <w:tcW w:w="2994" w:type="dxa"/>
            <w:gridSpan w:val="4"/>
            <w:tcBorders>
              <w:top w:val="single" w:sz="4" w:space="0" w:color="auto"/>
              <w:left w:val="single" w:sz="4" w:space="0" w:color="auto"/>
              <w:bottom w:val="single" w:sz="4" w:space="0" w:color="auto"/>
              <w:right w:val="single" w:sz="4" w:space="0" w:color="auto"/>
            </w:tcBorders>
            <w:vAlign w:val="center"/>
            <w:hideMark/>
          </w:tcPr>
          <w:p w:rsidR="00914094" w:rsidRPr="000538EE" w:rsidRDefault="00F25B3D" w:rsidP="000538EE">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Методика наставе математике</w:t>
            </w:r>
          </w:p>
        </w:tc>
      </w:tr>
      <w:tr w:rsidR="002A193B" w:rsidRPr="000538EE" w:rsidTr="00B85A64">
        <w:trPr>
          <w:trHeight w:val="227"/>
        </w:trPr>
        <w:tc>
          <w:tcPr>
            <w:tcW w:w="2392" w:type="dxa"/>
            <w:gridSpan w:val="3"/>
            <w:tcBorders>
              <w:top w:val="single" w:sz="4" w:space="0" w:color="auto"/>
              <w:left w:val="single" w:sz="4" w:space="0" w:color="auto"/>
              <w:bottom w:val="single" w:sz="4" w:space="0" w:color="auto"/>
              <w:right w:val="single" w:sz="4" w:space="0" w:color="auto"/>
            </w:tcBorders>
            <w:vAlign w:val="center"/>
          </w:tcPr>
          <w:p w:rsidR="002A193B" w:rsidRPr="004B0977" w:rsidRDefault="002A193B" w:rsidP="00914094">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Мастер диплома</w:t>
            </w:r>
          </w:p>
        </w:tc>
        <w:tc>
          <w:tcPr>
            <w:tcW w:w="1228" w:type="dxa"/>
            <w:tcBorders>
              <w:top w:val="single" w:sz="4" w:space="0" w:color="auto"/>
              <w:left w:val="single" w:sz="4" w:space="0" w:color="auto"/>
              <w:bottom w:val="single" w:sz="4" w:space="0" w:color="auto"/>
              <w:right w:val="single" w:sz="4" w:space="0" w:color="auto"/>
            </w:tcBorders>
            <w:vAlign w:val="center"/>
          </w:tcPr>
          <w:p w:rsidR="002A193B"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2008.</w:t>
            </w:r>
          </w:p>
        </w:tc>
        <w:tc>
          <w:tcPr>
            <w:tcW w:w="3310" w:type="dxa"/>
            <w:gridSpan w:val="4"/>
            <w:tcBorders>
              <w:top w:val="single" w:sz="4" w:space="0" w:color="auto"/>
              <w:left w:val="single" w:sz="4" w:space="0" w:color="auto"/>
              <w:bottom w:val="single" w:sz="4" w:space="0" w:color="auto"/>
              <w:right w:val="single" w:sz="4" w:space="0" w:color="auto"/>
            </w:tcBorders>
            <w:vAlign w:val="center"/>
          </w:tcPr>
          <w:p w:rsidR="002A193B" w:rsidRPr="000538EE" w:rsidRDefault="00B443F6" w:rsidP="002A193B">
            <w:pPr>
              <w:widowControl w:val="0"/>
              <w:tabs>
                <w:tab w:val="left" w:pos="567"/>
              </w:tabs>
              <w:autoSpaceDE w:val="0"/>
              <w:autoSpaceDN w:val="0"/>
              <w:adjustRightInd w:val="0"/>
              <w:spacing w:after="60"/>
              <w:rPr>
                <w:rFonts w:eastAsia="Times New Roman"/>
                <w:sz w:val="20"/>
                <w:szCs w:val="20"/>
                <w:lang w:val="sr-Cyrl-CS" w:eastAsia="sr-Latn-CS"/>
              </w:rPr>
            </w:pPr>
            <w:r w:rsidRPr="00B443F6">
              <w:rPr>
                <w:rFonts w:eastAsia="Times New Roman"/>
                <w:sz w:val="20"/>
                <w:szCs w:val="20"/>
                <w:lang w:val="sr-Cyrl-CS" w:eastAsia="sr-Latn-CS"/>
              </w:rPr>
              <w:t>Учитељски факултет у Београду</w:t>
            </w:r>
          </w:p>
        </w:tc>
        <w:tc>
          <w:tcPr>
            <w:tcW w:w="2994" w:type="dxa"/>
            <w:gridSpan w:val="4"/>
            <w:tcBorders>
              <w:top w:val="single" w:sz="4" w:space="0" w:color="auto"/>
              <w:left w:val="single" w:sz="4" w:space="0" w:color="auto"/>
              <w:bottom w:val="single" w:sz="4" w:space="0" w:color="auto"/>
              <w:right w:val="single" w:sz="4" w:space="0" w:color="auto"/>
            </w:tcBorders>
            <w:vAlign w:val="center"/>
          </w:tcPr>
          <w:p w:rsidR="002A193B"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Педагошке науке</w:t>
            </w:r>
          </w:p>
        </w:tc>
      </w:tr>
      <w:tr w:rsidR="00B443F6" w:rsidRPr="000538EE" w:rsidTr="00B85A64">
        <w:trPr>
          <w:trHeight w:val="227"/>
        </w:trPr>
        <w:tc>
          <w:tcPr>
            <w:tcW w:w="2392" w:type="dxa"/>
            <w:gridSpan w:val="3"/>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Диплома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2007.</w:t>
            </w:r>
          </w:p>
        </w:tc>
        <w:tc>
          <w:tcPr>
            <w:tcW w:w="3310" w:type="dxa"/>
            <w:gridSpan w:val="4"/>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Педагошки факултет у Сомбору</w:t>
            </w:r>
          </w:p>
        </w:tc>
        <w:tc>
          <w:tcPr>
            <w:tcW w:w="2994" w:type="dxa"/>
            <w:gridSpan w:val="4"/>
            <w:tcBorders>
              <w:top w:val="single" w:sz="4" w:space="0" w:color="auto"/>
              <w:left w:val="single" w:sz="4" w:space="0" w:color="auto"/>
              <w:bottom w:val="single" w:sz="4" w:space="0" w:color="auto"/>
              <w:right w:val="single" w:sz="4" w:space="0" w:color="auto"/>
            </w:tcBorders>
            <w:vAlign w:val="center"/>
          </w:tcPr>
          <w:p w:rsidR="00B443F6" w:rsidRPr="000538EE" w:rsidRDefault="00B443F6" w:rsidP="005125C5">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Педагошке науке</w:t>
            </w:r>
          </w:p>
        </w:tc>
      </w:tr>
      <w:tr w:rsidR="00B443F6" w:rsidRPr="000538EE" w:rsidTr="000538EE">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B443F6" w:rsidRPr="004B0977" w:rsidRDefault="00B443F6"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B443F6" w:rsidRPr="000538EE" w:rsidTr="00B85A64">
        <w:trPr>
          <w:trHeight w:val="227"/>
        </w:trPr>
        <w:tc>
          <w:tcPr>
            <w:tcW w:w="630" w:type="dxa"/>
            <w:gridSpan w:val="2"/>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Р.Б.</w:t>
            </w:r>
          </w:p>
        </w:tc>
        <w:tc>
          <w:tcPr>
            <w:tcW w:w="3200" w:type="dxa"/>
            <w:gridSpan w:val="3"/>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Наслов дисертације</w:t>
            </w:r>
          </w:p>
        </w:tc>
        <w:tc>
          <w:tcPr>
            <w:tcW w:w="2705" w:type="dxa"/>
            <w:gridSpan w:val="2"/>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Име кандидата</w:t>
            </w:r>
          </w:p>
        </w:tc>
        <w:tc>
          <w:tcPr>
            <w:tcW w:w="1688" w:type="dxa"/>
            <w:gridSpan w:val="3"/>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 xml:space="preserve">*пријављена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 одбрањена</w:t>
            </w:r>
          </w:p>
        </w:tc>
      </w:tr>
      <w:tr w:rsidR="00B443F6" w:rsidRPr="000538EE" w:rsidTr="00B85A64">
        <w:trPr>
          <w:trHeight w:val="227"/>
        </w:trPr>
        <w:tc>
          <w:tcPr>
            <w:tcW w:w="630" w:type="dxa"/>
            <w:gridSpan w:val="2"/>
            <w:tcBorders>
              <w:top w:val="single" w:sz="4" w:space="0" w:color="auto"/>
              <w:left w:val="single" w:sz="4" w:space="0" w:color="auto"/>
              <w:bottom w:val="single" w:sz="4" w:space="0" w:color="auto"/>
              <w:right w:val="single" w:sz="4" w:space="0" w:color="auto"/>
            </w:tcBorders>
            <w:vAlign w:val="center"/>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
        </w:tc>
        <w:tc>
          <w:tcPr>
            <w:tcW w:w="3200" w:type="dxa"/>
            <w:gridSpan w:val="3"/>
            <w:tcBorders>
              <w:top w:val="single" w:sz="4" w:space="0" w:color="auto"/>
              <w:left w:val="single" w:sz="4" w:space="0" w:color="auto"/>
              <w:bottom w:val="single" w:sz="4" w:space="0" w:color="auto"/>
              <w:right w:val="single" w:sz="4" w:space="0" w:color="auto"/>
            </w:tcBorders>
            <w:vAlign w:val="center"/>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
        </w:tc>
        <w:tc>
          <w:tcPr>
            <w:tcW w:w="2705" w:type="dxa"/>
            <w:gridSpan w:val="2"/>
            <w:tcBorders>
              <w:top w:val="single" w:sz="4" w:space="0" w:color="auto"/>
              <w:left w:val="single" w:sz="4" w:space="0" w:color="auto"/>
              <w:bottom w:val="single" w:sz="4" w:space="0" w:color="auto"/>
              <w:right w:val="single" w:sz="4" w:space="0" w:color="auto"/>
            </w:tcBorders>
            <w:vAlign w:val="center"/>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
        </w:tc>
        <w:tc>
          <w:tcPr>
            <w:tcW w:w="1688" w:type="dxa"/>
            <w:gridSpan w:val="3"/>
            <w:tcBorders>
              <w:top w:val="single" w:sz="4" w:space="0" w:color="auto"/>
              <w:left w:val="single" w:sz="4" w:space="0" w:color="auto"/>
              <w:bottom w:val="single" w:sz="4" w:space="0" w:color="auto"/>
              <w:right w:val="single" w:sz="4" w:space="0" w:color="auto"/>
            </w:tcBorders>
            <w:vAlign w:val="center"/>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
        </w:tc>
      </w:tr>
      <w:tr w:rsidR="00B443F6" w:rsidRPr="002B42F1" w:rsidTr="002B42F1">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tcPr>
          <w:p w:rsidR="00B443F6" w:rsidRPr="002B42F1" w:rsidRDefault="00B443F6" w:rsidP="000538EE">
            <w:pPr>
              <w:widowControl w:val="0"/>
              <w:tabs>
                <w:tab w:val="left" w:pos="567"/>
              </w:tabs>
              <w:autoSpaceDE w:val="0"/>
              <w:autoSpaceDN w:val="0"/>
              <w:adjustRightInd w:val="0"/>
              <w:spacing w:after="60"/>
              <w:rPr>
                <w:rFonts w:eastAsia="Times New Roman"/>
                <w:sz w:val="16"/>
                <w:szCs w:val="16"/>
                <w:lang w:val="sr-Cyrl-CS" w:eastAsia="sr-Latn-CS"/>
              </w:rPr>
            </w:pPr>
            <w:r w:rsidRPr="002B42F1">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B443F6" w:rsidRPr="00914094" w:rsidTr="000538EE">
        <w:trPr>
          <w:trHeight w:val="227"/>
        </w:trPr>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B443F6" w:rsidRPr="00914094" w:rsidRDefault="00B443F6" w:rsidP="002B42F1">
            <w:pPr>
              <w:widowControl w:val="0"/>
              <w:tabs>
                <w:tab w:val="left" w:pos="567"/>
              </w:tabs>
              <w:autoSpaceDE w:val="0"/>
              <w:autoSpaceDN w:val="0"/>
              <w:adjustRightInd w:val="0"/>
              <w:spacing w:after="60"/>
              <w:rPr>
                <w:rFonts w:eastAsia="Times New Roman"/>
                <w:b/>
                <w:sz w:val="16"/>
                <w:szCs w:val="16"/>
                <w:lang w:val="sr-Latn-CS" w:eastAsia="sr-Latn-CS"/>
              </w:rPr>
            </w:pPr>
            <w:r w:rsidRPr="0091409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B443F6" w:rsidRPr="00914094" w:rsidRDefault="00B443F6" w:rsidP="002B42F1">
            <w:pPr>
              <w:widowControl w:val="0"/>
              <w:tabs>
                <w:tab w:val="left" w:pos="567"/>
              </w:tabs>
              <w:autoSpaceDE w:val="0"/>
              <w:autoSpaceDN w:val="0"/>
              <w:adjustRightInd w:val="0"/>
              <w:spacing w:after="60"/>
              <w:rPr>
                <w:rFonts w:eastAsia="Times New Roman"/>
                <w:b/>
                <w:sz w:val="16"/>
                <w:szCs w:val="16"/>
                <w:lang w:val="sr-Cyrl-CS" w:eastAsia="sr-Latn-CS"/>
              </w:rPr>
            </w:pPr>
            <w:r w:rsidRPr="0091409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1.</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rPr>
                <w:rFonts w:eastAsia="Times New Roman"/>
                <w:sz w:val="20"/>
                <w:szCs w:val="20"/>
                <w:lang w:val="sr-Cyrl-CS" w:eastAsia="sr-Latn-CS"/>
              </w:rPr>
            </w:pPr>
            <w:proofErr w:type="spellStart"/>
            <w:r w:rsidRPr="000538EE">
              <w:rPr>
                <w:rFonts w:eastAsia="Times New Roman"/>
                <w:color w:val="000000"/>
                <w:sz w:val="20"/>
                <w:szCs w:val="20"/>
                <w:shd w:val="clear" w:color="auto" w:fill="FFFFFF"/>
                <w:lang w:val="en-GB" w:eastAsia="sr-Latn-CS"/>
              </w:rPr>
              <w:t>Lazić</w:t>
            </w:r>
            <w:proofErr w:type="spellEnd"/>
            <w:r w:rsidRPr="000538EE">
              <w:rPr>
                <w:rFonts w:eastAsia="Times New Roman"/>
                <w:color w:val="000000"/>
                <w:sz w:val="20"/>
                <w:szCs w:val="20"/>
                <w:shd w:val="clear" w:color="auto" w:fill="FFFFFF"/>
                <w:lang w:val="en-GB" w:eastAsia="sr-Latn-CS"/>
              </w:rPr>
              <w:t xml:space="preserve">, B., </w:t>
            </w:r>
            <w:proofErr w:type="spellStart"/>
            <w:r w:rsidRPr="000538EE">
              <w:rPr>
                <w:rFonts w:eastAsia="Times New Roman"/>
                <w:color w:val="000000"/>
                <w:sz w:val="20"/>
                <w:szCs w:val="20"/>
                <w:shd w:val="clear" w:color="auto" w:fill="FFFFFF"/>
                <w:lang w:val="en-GB" w:eastAsia="sr-Latn-CS"/>
              </w:rPr>
              <w:t>Maričić</w:t>
            </w:r>
            <w:proofErr w:type="spellEnd"/>
            <w:r w:rsidRPr="000538EE">
              <w:rPr>
                <w:rFonts w:eastAsia="Times New Roman"/>
                <w:color w:val="000000"/>
                <w:sz w:val="20"/>
                <w:szCs w:val="20"/>
                <w:shd w:val="clear" w:color="auto" w:fill="FFFFFF"/>
                <w:lang w:val="en-GB" w:eastAsia="sr-Latn-CS"/>
              </w:rPr>
              <w:t>, S. (2015). Propaedeutic formation of the concept of fraction in elementary mathematics education. </w:t>
            </w:r>
            <w:r w:rsidRPr="000538EE">
              <w:rPr>
                <w:rFonts w:eastAsia="Times New Roman"/>
                <w:color w:val="000000"/>
                <w:sz w:val="20"/>
                <w:szCs w:val="20"/>
                <w:shd w:val="clear" w:color="auto" w:fill="FFFFFF"/>
                <w:lang w:val="sr-Latn-RS" w:eastAsia="sr-Latn-CS"/>
              </w:rPr>
              <w:t>In: J. Novotna, H. Moraova (Eds.), </w:t>
            </w:r>
            <w:r w:rsidRPr="000538EE">
              <w:rPr>
                <w:rFonts w:eastAsia="Times New Roman"/>
                <w:i/>
                <w:iCs/>
                <w:color w:val="000000"/>
                <w:sz w:val="20"/>
                <w:szCs w:val="20"/>
                <w:shd w:val="clear" w:color="auto" w:fill="FFFFFF"/>
                <w:lang w:val="en-GB" w:eastAsia="sr-Latn-CS"/>
              </w:rPr>
              <w:t xml:space="preserve">Developing mathematical language and reasoning </w:t>
            </w:r>
            <w:r w:rsidRPr="000538EE">
              <w:rPr>
                <w:rFonts w:eastAsia="Times New Roman"/>
                <w:color w:val="000000"/>
                <w:sz w:val="20"/>
                <w:szCs w:val="20"/>
                <w:shd w:val="clear" w:color="auto" w:fill="FFFFFF"/>
                <w:lang w:val="sr-Latn-RS" w:eastAsia="sr-Latn-CS"/>
              </w:rPr>
              <w:t>(Proceeding of International Simposium Elementary Math Teaching). Prague, the Czech Republic: Charles University, Faculty of Education. p. 212–221.</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М13</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2.</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Latn-RS" w:eastAsia="sr-Latn-CS"/>
              </w:rPr>
              <w:t xml:space="preserve">Lazic, B., Milinkovic, J. (2017). Using multiple representations of fractions to enhance problem solving. </w:t>
            </w:r>
            <w:r w:rsidRPr="000538EE">
              <w:rPr>
                <w:rFonts w:eastAsia="Times New Roman"/>
                <w:color w:val="000000"/>
                <w:sz w:val="20"/>
                <w:szCs w:val="20"/>
                <w:shd w:val="clear" w:color="auto" w:fill="FFFFFF"/>
                <w:lang w:val="sr-Latn-RS" w:eastAsia="sr-Latn-CS"/>
              </w:rPr>
              <w:t>In: J. Novotna, H. Moraova (Eds</w:t>
            </w:r>
            <w:r w:rsidRPr="000538EE">
              <w:rPr>
                <w:rFonts w:eastAsia="Times New Roman"/>
                <w:i/>
                <w:color w:val="000000"/>
                <w:sz w:val="20"/>
                <w:szCs w:val="20"/>
                <w:shd w:val="clear" w:color="auto" w:fill="FFFFFF"/>
                <w:lang w:val="sr-Latn-RS" w:eastAsia="sr-Latn-CS"/>
              </w:rPr>
              <w:t>.), </w:t>
            </w:r>
            <w:r w:rsidRPr="000538EE">
              <w:rPr>
                <w:rFonts w:eastAsia="Times New Roman"/>
                <w:bCs/>
                <w:i/>
                <w:sz w:val="20"/>
                <w:szCs w:val="20"/>
                <w:lang w:val="sr-Latn-RS" w:eastAsia="sr-Latn-CS"/>
              </w:rPr>
              <w:t>Equity and diversity in elementary mathematics education</w:t>
            </w:r>
            <w:r w:rsidRPr="000538EE">
              <w:rPr>
                <w:rFonts w:eastAsia="Times New Roman"/>
                <w:i/>
                <w:iCs/>
                <w:color w:val="000000"/>
                <w:sz w:val="20"/>
                <w:szCs w:val="20"/>
                <w:shd w:val="clear" w:color="auto" w:fill="FFFFFF"/>
                <w:lang w:val="en-GB" w:eastAsia="sr-Latn-CS"/>
              </w:rPr>
              <w:t xml:space="preserve"> </w:t>
            </w:r>
            <w:r w:rsidRPr="000538EE">
              <w:rPr>
                <w:rFonts w:eastAsia="Times New Roman"/>
                <w:color w:val="000000"/>
                <w:sz w:val="20"/>
                <w:szCs w:val="20"/>
                <w:shd w:val="clear" w:color="auto" w:fill="FFFFFF"/>
                <w:lang w:val="sr-Latn-RS" w:eastAsia="sr-Latn-CS"/>
              </w:rPr>
              <w:t>(Proceeding of International Simposium Elementary Math Teaching). Prague, the Czech Republic: Charles University, Faculty of Education. p. 301–311. </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М13</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3.</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Latn-RS" w:eastAsia="sr-Latn-CS"/>
              </w:rPr>
              <w:t xml:space="preserve">Maricic, S., Lazic, B. &amp; Petojevic, A. (2016). Mathematics textbooks for enabling students to solve problems in elementary mathematics education. In: D. Petrovic, M. Antolovic (Eds.), </w:t>
            </w:r>
            <w:r w:rsidRPr="000538EE">
              <w:rPr>
                <w:rFonts w:eastAsia="Times New Roman"/>
                <w:i/>
                <w:sz w:val="20"/>
                <w:szCs w:val="20"/>
                <w:lang w:val="sr-Latn-RS" w:eastAsia="sr-Latn-CS"/>
              </w:rPr>
              <w:t>Education and the Social Challenges at the Beginning of the 21</w:t>
            </w:r>
            <w:r w:rsidRPr="000538EE">
              <w:rPr>
                <w:rFonts w:eastAsia="Times New Roman"/>
                <w:i/>
                <w:sz w:val="20"/>
                <w:szCs w:val="20"/>
                <w:vertAlign w:val="superscript"/>
                <w:lang w:val="sr-Latn-RS" w:eastAsia="sr-Latn-CS"/>
              </w:rPr>
              <w:t xml:space="preserve">st </w:t>
            </w:r>
            <w:r w:rsidRPr="000538EE">
              <w:rPr>
                <w:rFonts w:eastAsia="Times New Roman"/>
                <w:i/>
                <w:sz w:val="20"/>
                <w:szCs w:val="20"/>
                <w:lang w:val="sr-Latn-RS" w:eastAsia="sr-Latn-CS"/>
              </w:rPr>
              <w:t>Century</w:t>
            </w:r>
            <w:r w:rsidRPr="000538EE">
              <w:rPr>
                <w:rFonts w:eastAsia="Times New Roman"/>
                <w:sz w:val="20"/>
                <w:szCs w:val="20"/>
                <w:lang w:val="sr-Latn-RS" w:eastAsia="sr-Latn-CS"/>
              </w:rPr>
              <w:t xml:space="preserve"> (136-151). Sombor: Faculty of Education in Sombor.</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М14</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4.</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Latn-RS" w:eastAsia="sr-Latn-CS"/>
              </w:rPr>
              <w:t xml:space="preserve">Lazic, B., Milinkovic, J. &amp; Petojevic, A. (2012). Connecting mathematics in propaedeutic exploration of the concept of fraction in elementary grades. In: N. Brankovic (Ed.), </w:t>
            </w:r>
            <w:r w:rsidRPr="000538EE">
              <w:rPr>
                <w:rFonts w:eastAsia="Times New Roman"/>
                <w:i/>
                <w:sz w:val="20"/>
                <w:szCs w:val="20"/>
                <w:lang w:val="sr-Latn-RS" w:eastAsia="sr-Latn-CS"/>
              </w:rPr>
              <w:t xml:space="preserve">Theory and Practice of Connecting and Integrating in Teaching and Learning Process </w:t>
            </w:r>
            <w:r w:rsidRPr="000538EE">
              <w:rPr>
                <w:rFonts w:eastAsia="Times New Roman"/>
                <w:sz w:val="20"/>
                <w:szCs w:val="20"/>
                <w:lang w:val="sr-Latn-RS" w:eastAsia="sr-Latn-CS"/>
              </w:rPr>
              <w:t>(123</w:t>
            </w:r>
            <w:r w:rsidRPr="000538EE">
              <w:rPr>
                <w:rFonts w:eastAsia="Times New Roman"/>
                <w:sz w:val="20"/>
                <w:szCs w:val="20"/>
                <w:lang w:val="sr-Cyrl-CS" w:eastAsia="sr-Latn-CS"/>
              </w:rPr>
              <w:t>-13</w:t>
            </w:r>
            <w:r w:rsidRPr="000538EE">
              <w:rPr>
                <w:rFonts w:eastAsia="Times New Roman"/>
                <w:sz w:val="20"/>
                <w:szCs w:val="20"/>
                <w:lang w:val="sr-Latn-RS" w:eastAsia="sr-Latn-CS"/>
              </w:rPr>
              <w:t>5</w:t>
            </w:r>
            <w:r w:rsidRPr="000538EE">
              <w:rPr>
                <w:rFonts w:eastAsia="Times New Roman"/>
                <w:sz w:val="20"/>
                <w:szCs w:val="20"/>
                <w:lang w:val="sr-Cyrl-CS" w:eastAsia="sr-Latn-CS"/>
              </w:rPr>
              <w:t>)</w:t>
            </w:r>
            <w:r w:rsidRPr="000538EE">
              <w:rPr>
                <w:rFonts w:eastAsia="Times New Roman"/>
                <w:sz w:val="20"/>
                <w:szCs w:val="20"/>
                <w:lang w:val="sr-Latn-RS" w:eastAsia="sr-Latn-CS"/>
              </w:rPr>
              <w:t>. Sombor: Faculty of Education in Sombor</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М14</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5.</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tabs>
                <w:tab w:val="left" w:pos="993"/>
              </w:tabs>
              <w:suppressAutoHyphens/>
              <w:contextualSpacing/>
              <w:jc w:val="both"/>
              <w:rPr>
                <w:sz w:val="20"/>
                <w:szCs w:val="20"/>
                <w:lang w:bidi="en-US"/>
              </w:rPr>
            </w:pPr>
            <w:proofErr w:type="spellStart"/>
            <w:r w:rsidRPr="000538EE">
              <w:rPr>
                <w:rFonts w:eastAsia="Times New Roman"/>
                <w:bCs/>
                <w:iCs/>
                <w:sz w:val="20"/>
                <w:szCs w:val="20"/>
                <w:lang w:bidi="en-US"/>
              </w:rPr>
              <w:t>Lipkovski</w:t>
            </w:r>
            <w:proofErr w:type="spellEnd"/>
            <w:r w:rsidRPr="000538EE">
              <w:rPr>
                <w:rFonts w:eastAsia="Times New Roman"/>
                <w:bCs/>
                <w:iCs/>
                <w:sz w:val="20"/>
                <w:szCs w:val="20"/>
                <w:lang w:bidi="en-US"/>
              </w:rPr>
              <w:t xml:space="preserve">, A., </w:t>
            </w:r>
            <w:proofErr w:type="spellStart"/>
            <w:r w:rsidRPr="000538EE">
              <w:rPr>
                <w:rFonts w:eastAsia="Times New Roman"/>
                <w:bCs/>
                <w:iCs/>
                <w:sz w:val="20"/>
                <w:szCs w:val="20"/>
                <w:lang w:bidi="en-US"/>
              </w:rPr>
              <w:t>Rakonjac</w:t>
            </w:r>
            <w:proofErr w:type="spellEnd"/>
            <w:r w:rsidRPr="000538EE">
              <w:rPr>
                <w:rFonts w:eastAsia="Times New Roman"/>
                <w:bCs/>
                <w:iCs/>
                <w:sz w:val="20"/>
                <w:szCs w:val="20"/>
                <w:lang w:bidi="en-US"/>
              </w:rPr>
              <w:t xml:space="preserve">, M. </w:t>
            </w:r>
            <w:r w:rsidRPr="000538EE">
              <w:rPr>
                <w:sz w:val="20"/>
                <w:szCs w:val="20"/>
                <w:lang w:bidi="en-US"/>
              </w:rPr>
              <w:t xml:space="preserve">&amp; </w:t>
            </w:r>
            <w:proofErr w:type="spellStart"/>
            <w:r w:rsidRPr="000538EE">
              <w:rPr>
                <w:rFonts w:eastAsia="Times New Roman"/>
                <w:bCs/>
                <w:iCs/>
                <w:sz w:val="20"/>
                <w:szCs w:val="20"/>
                <w:lang w:bidi="en-US"/>
              </w:rPr>
              <w:t>Lazić</w:t>
            </w:r>
            <w:proofErr w:type="spellEnd"/>
            <w:r w:rsidRPr="000538EE">
              <w:rPr>
                <w:rFonts w:eastAsia="Times New Roman"/>
                <w:bCs/>
                <w:iCs/>
                <w:sz w:val="20"/>
                <w:szCs w:val="20"/>
                <w:lang w:bidi="en-US"/>
              </w:rPr>
              <w:t xml:space="preserve">, B. (2012). The connection of geometric and algebraic content in the sixth and seventh grade of primary school. In: N. </w:t>
            </w:r>
            <w:proofErr w:type="spellStart"/>
            <w:r w:rsidRPr="000538EE">
              <w:rPr>
                <w:rFonts w:eastAsia="Times New Roman"/>
                <w:sz w:val="20"/>
                <w:szCs w:val="20"/>
                <w:lang w:bidi="en-US"/>
              </w:rPr>
              <w:t>Brankovic</w:t>
            </w:r>
            <w:proofErr w:type="spellEnd"/>
            <w:r w:rsidRPr="000538EE">
              <w:rPr>
                <w:rFonts w:eastAsia="Times New Roman"/>
                <w:sz w:val="20"/>
                <w:szCs w:val="20"/>
                <w:lang w:bidi="en-US"/>
              </w:rPr>
              <w:t xml:space="preserve"> (Ed.), </w:t>
            </w:r>
            <w:r w:rsidRPr="000538EE">
              <w:rPr>
                <w:rFonts w:eastAsia="Times New Roman"/>
                <w:bCs/>
                <w:i/>
                <w:iCs/>
                <w:sz w:val="20"/>
                <w:szCs w:val="20"/>
                <w:lang w:bidi="en-US"/>
              </w:rPr>
              <w:t xml:space="preserve">Theory and Practice of Connecting and Integrating in Teaching and Learning Process </w:t>
            </w:r>
            <w:r w:rsidRPr="000538EE">
              <w:rPr>
                <w:rFonts w:eastAsia="Times New Roman"/>
                <w:bCs/>
                <w:iCs/>
                <w:sz w:val="20"/>
                <w:szCs w:val="20"/>
                <w:lang w:bidi="en-US"/>
              </w:rPr>
              <w:t>(137-157)</w:t>
            </w:r>
            <w:r w:rsidRPr="000538EE">
              <w:rPr>
                <w:rFonts w:eastAsia="Times New Roman"/>
                <w:bCs/>
                <w:i/>
                <w:iCs/>
                <w:sz w:val="20"/>
                <w:szCs w:val="20"/>
                <w:lang w:bidi="en-US"/>
              </w:rPr>
              <w:t xml:space="preserve">. </w:t>
            </w:r>
            <w:proofErr w:type="spellStart"/>
            <w:r w:rsidRPr="000538EE">
              <w:rPr>
                <w:sz w:val="20"/>
                <w:szCs w:val="20"/>
                <w:lang w:bidi="en-US"/>
              </w:rPr>
              <w:t>Sombor</w:t>
            </w:r>
            <w:proofErr w:type="spellEnd"/>
            <w:r w:rsidRPr="000538EE">
              <w:rPr>
                <w:sz w:val="20"/>
                <w:szCs w:val="20"/>
                <w:lang w:bidi="en-US"/>
              </w:rPr>
              <w:t xml:space="preserve">: Faculty of Education in </w:t>
            </w:r>
            <w:proofErr w:type="spellStart"/>
            <w:r w:rsidRPr="000538EE">
              <w:rPr>
                <w:sz w:val="20"/>
                <w:szCs w:val="20"/>
                <w:lang w:bidi="en-US"/>
              </w:rPr>
              <w:t>Sombor</w:t>
            </w:r>
            <w:proofErr w:type="spellEnd"/>
            <w:r w:rsidRPr="000538EE">
              <w:rPr>
                <w:sz w:val="20"/>
                <w:szCs w:val="20"/>
                <w:lang w:bidi="en-US"/>
              </w:rPr>
              <w:t>.</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М14</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6.</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roofErr w:type="spellStart"/>
            <w:r w:rsidRPr="000538EE">
              <w:rPr>
                <w:rFonts w:eastAsia="Times New Roman"/>
                <w:sz w:val="20"/>
                <w:szCs w:val="20"/>
                <w:shd w:val="clear" w:color="auto" w:fill="FFFFFF"/>
                <w:lang w:val="en-GB" w:eastAsia="sr-Latn-CS"/>
              </w:rPr>
              <w:t>Maričić</w:t>
            </w:r>
            <w:proofErr w:type="spellEnd"/>
            <w:r w:rsidRPr="000538EE">
              <w:rPr>
                <w:rFonts w:eastAsia="Times New Roman"/>
                <w:sz w:val="20"/>
                <w:szCs w:val="20"/>
                <w:shd w:val="clear" w:color="auto" w:fill="FFFFFF"/>
                <w:lang w:val="en-GB" w:eastAsia="sr-Latn-CS"/>
              </w:rPr>
              <w:t xml:space="preserve">, S., </w:t>
            </w:r>
            <w:proofErr w:type="spellStart"/>
            <w:r w:rsidRPr="000538EE">
              <w:rPr>
                <w:rFonts w:eastAsia="Times New Roman"/>
                <w:sz w:val="20"/>
                <w:szCs w:val="20"/>
                <w:shd w:val="clear" w:color="auto" w:fill="FFFFFF"/>
                <w:lang w:val="en-GB" w:eastAsia="sr-Latn-CS"/>
              </w:rPr>
              <w:t>Špijunović</w:t>
            </w:r>
            <w:proofErr w:type="spellEnd"/>
            <w:r w:rsidRPr="000538EE">
              <w:rPr>
                <w:rFonts w:eastAsia="Times New Roman"/>
                <w:sz w:val="20"/>
                <w:szCs w:val="20"/>
                <w:shd w:val="clear" w:color="auto" w:fill="FFFFFF"/>
                <w:lang w:val="en-GB" w:eastAsia="sr-Latn-CS"/>
              </w:rPr>
              <w:t xml:space="preserve">, K., </w:t>
            </w:r>
            <w:proofErr w:type="spellStart"/>
            <w:r w:rsidRPr="000538EE">
              <w:rPr>
                <w:rFonts w:eastAsia="Times New Roman"/>
                <w:sz w:val="20"/>
                <w:szCs w:val="20"/>
                <w:shd w:val="clear" w:color="auto" w:fill="FFFFFF"/>
                <w:lang w:val="en-GB" w:eastAsia="sr-Latn-CS"/>
              </w:rPr>
              <w:t>Lazić</w:t>
            </w:r>
            <w:proofErr w:type="spellEnd"/>
            <w:r w:rsidRPr="000538EE">
              <w:rPr>
                <w:rFonts w:eastAsia="Times New Roman"/>
                <w:sz w:val="20"/>
                <w:szCs w:val="20"/>
                <w:shd w:val="clear" w:color="auto" w:fill="FFFFFF"/>
                <w:lang w:val="en-GB" w:eastAsia="sr-Latn-CS"/>
              </w:rPr>
              <w:t xml:space="preserve">, B. (2015). </w:t>
            </w:r>
            <w:r w:rsidRPr="000538EE">
              <w:rPr>
                <w:rFonts w:eastAsia="Times New Roman"/>
                <w:bCs/>
                <w:sz w:val="20"/>
                <w:szCs w:val="20"/>
                <w:shd w:val="clear" w:color="auto" w:fill="FFFFFF"/>
                <w:lang w:val="sr-Latn-RS" w:eastAsia="sr-Latn-CS"/>
              </w:rPr>
              <w:t xml:space="preserve">The influence of content on the development of students` critical thinking in the initial teaching of mathematics, </w:t>
            </w:r>
            <w:r w:rsidRPr="000538EE">
              <w:rPr>
                <w:rFonts w:eastAsia="Times New Roman"/>
                <w:i/>
                <w:sz w:val="20"/>
                <w:szCs w:val="20"/>
                <w:lang w:val="sr-Latn-RS" w:eastAsia="sr-Latn-CS"/>
              </w:rPr>
              <w:t xml:space="preserve">Croatian Journal of Education. </w:t>
            </w:r>
            <w:r w:rsidRPr="000538EE">
              <w:rPr>
                <w:rFonts w:eastAsia="Times New Roman"/>
                <w:sz w:val="20"/>
                <w:szCs w:val="20"/>
                <w:lang w:val="sr-Latn-RS" w:eastAsia="sr-Latn-CS"/>
              </w:rPr>
              <w:t>Zagreb, Croatia: University of Zagreb, Faculty of Teacher Education.</w:t>
            </w:r>
            <w:r w:rsidRPr="000538EE">
              <w:rPr>
                <w:sz w:val="20"/>
                <w:szCs w:val="20"/>
                <w:lang w:val="sr-Latn-RS" w:eastAsia="sr-Latn-CS"/>
              </w:rPr>
              <w:t>Vol.18; No.1/2016, pages: 11-40.</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М23</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7.</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NewRomanPSMT"/>
                <w:sz w:val="20"/>
                <w:szCs w:val="20"/>
                <w:lang w:val="sr-Latn-RS" w:eastAsia="sr-Latn-CS"/>
              </w:rPr>
              <w:t>Лазић, Б</w:t>
            </w:r>
            <w:r w:rsidRPr="000538EE">
              <w:rPr>
                <w:rFonts w:eastAsia="TimesNewRomanPSMT"/>
                <w:b/>
                <w:sz w:val="20"/>
                <w:szCs w:val="20"/>
                <w:lang w:val="sr-Latn-RS" w:eastAsia="sr-Latn-CS"/>
              </w:rPr>
              <w:t>.</w:t>
            </w:r>
            <w:r w:rsidRPr="000538EE">
              <w:rPr>
                <w:rFonts w:eastAsia="TimesNewRomanPSMT"/>
                <w:sz w:val="20"/>
                <w:szCs w:val="20"/>
                <w:lang w:val="sr-Latn-RS" w:eastAsia="sr-Latn-CS"/>
              </w:rPr>
              <w:t xml:space="preserve">, Маричић, С., Милинковић, Ј. (2015). </w:t>
            </w:r>
            <w:r w:rsidRPr="000538EE">
              <w:rPr>
                <w:rFonts w:eastAsia="Times New Roman"/>
                <w:sz w:val="20"/>
                <w:szCs w:val="20"/>
                <w:lang w:val="sr-Latn-RS" w:eastAsia="sr-Latn-CS"/>
              </w:rPr>
              <w:t xml:space="preserve">Пропедевтичко учење разломака засновано на интеграцији садржаја у почетној настави математике, </w:t>
            </w:r>
            <w:r w:rsidRPr="000538EE">
              <w:rPr>
                <w:rFonts w:eastAsia="Times New Roman"/>
                <w:i/>
                <w:sz w:val="20"/>
                <w:szCs w:val="20"/>
                <w:lang w:val="sr-Latn-RS" w:eastAsia="sr-Latn-CS"/>
              </w:rPr>
              <w:t>Настава и васпитање, LXIV, бр. 4</w:t>
            </w:r>
            <w:r w:rsidRPr="000538EE">
              <w:rPr>
                <w:rFonts w:eastAsia="Times New Roman"/>
                <w:sz w:val="20"/>
                <w:szCs w:val="20"/>
                <w:lang w:val="sr-Latn-RS" w:eastAsia="sr-Latn-CS"/>
              </w:rPr>
              <w:t>. Београд: Педагошко друштво Србије, стр. 679-697.</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М24</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8.</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NewRomanPSMT"/>
                <w:sz w:val="20"/>
                <w:szCs w:val="20"/>
                <w:lang w:val="sr-Latn-RS" w:eastAsia="sr-Latn-CS"/>
              </w:rPr>
              <w:t xml:space="preserve">Миловановић, Ј., Мрђа, М., Лазић, Б. (2015). Стандардизација и стандарди у функцији квалитета наставе и учења моделовања и решавања аритметичких проблема, </w:t>
            </w:r>
            <w:r w:rsidRPr="000538EE">
              <w:rPr>
                <w:rFonts w:eastAsia="TimesNewRomanPSMT"/>
                <w:i/>
                <w:sz w:val="20"/>
                <w:szCs w:val="20"/>
                <w:lang w:val="sr-Latn-RS" w:eastAsia="sr-Latn-CS"/>
              </w:rPr>
              <w:t xml:space="preserve">Педагогија, LXX, бр. 3, </w:t>
            </w:r>
            <w:r w:rsidRPr="000538EE">
              <w:rPr>
                <w:rFonts w:eastAsia="TimesNewRomanPSMT"/>
                <w:sz w:val="20"/>
                <w:szCs w:val="20"/>
                <w:lang w:val="sr-Latn-RS" w:eastAsia="sr-Latn-CS"/>
              </w:rPr>
              <w:t>стр. 338-349.</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М51</w:t>
            </w:r>
          </w:p>
        </w:tc>
      </w:tr>
      <w:tr w:rsidR="00B443F6" w:rsidRPr="000538EE" w:rsidTr="00B85A64">
        <w:trPr>
          <w:trHeight w:val="227"/>
        </w:trPr>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9.</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NewRomanPSMT"/>
                <w:sz w:val="20"/>
                <w:szCs w:val="20"/>
                <w:lang w:val="sr-Cyrl-CS" w:eastAsia="sr-Latn-CS"/>
              </w:rPr>
              <w:t xml:space="preserve">Милинковић, Ј., Лазић, Б. (2018). </w:t>
            </w:r>
            <w:r w:rsidRPr="000538EE">
              <w:rPr>
                <w:rFonts w:eastAsia="Times New Roman"/>
                <w:sz w:val="20"/>
                <w:szCs w:val="20"/>
                <w:lang w:val="sr-Latn-RS" w:eastAsia="sr-Latn-CS"/>
              </w:rPr>
              <w:t>Постигнуће ученика на ТИМСС и ПИСА испитивању као смерница за измене у наставном програму математике</w:t>
            </w:r>
            <w:r w:rsidRPr="000538EE">
              <w:rPr>
                <w:rFonts w:eastAsia="Times New Roman"/>
                <w:sz w:val="20"/>
                <w:szCs w:val="20"/>
                <w:lang w:val="sr-Cyrl-CS" w:eastAsia="sr-Latn-CS"/>
              </w:rPr>
              <w:t>.</w:t>
            </w:r>
            <w:r w:rsidRPr="000538EE">
              <w:rPr>
                <w:rFonts w:eastAsia="Times New Roman"/>
                <w:i/>
                <w:sz w:val="20"/>
                <w:szCs w:val="20"/>
                <w:lang w:val="sr-Latn-RS" w:eastAsia="sr-Latn-CS"/>
              </w:rPr>
              <w:t xml:space="preserve"> Иновације у настави, XXXI, бр. 2018/3,</w:t>
            </w:r>
            <w:r w:rsidRPr="000538EE">
              <w:rPr>
                <w:rFonts w:eastAsia="Times New Roman"/>
                <w:sz w:val="20"/>
                <w:szCs w:val="20"/>
                <w:lang w:val="sr-Latn-RS" w:eastAsia="sr-Latn-CS"/>
              </w:rPr>
              <w:t xml:space="preserve"> стр. 74-86. Београд: Учитељски факултет.</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914094">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М51</w:t>
            </w:r>
          </w:p>
        </w:tc>
      </w:tr>
      <w:tr w:rsidR="00B443F6" w:rsidRPr="000538EE" w:rsidTr="00B85A64">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F25B3D">
            <w:pPr>
              <w:widowControl w:val="0"/>
              <w:tabs>
                <w:tab w:val="left" w:pos="567"/>
              </w:tabs>
              <w:autoSpaceDE w:val="0"/>
              <w:autoSpaceDN w:val="0"/>
              <w:adjustRightInd w:val="0"/>
              <w:spacing w:after="60"/>
              <w:rPr>
                <w:rFonts w:eastAsia="Times New Roman"/>
                <w:sz w:val="20"/>
                <w:szCs w:val="20"/>
                <w:lang w:eastAsia="sr-Latn-CS"/>
              </w:rPr>
            </w:pPr>
            <w:r w:rsidRPr="000538EE">
              <w:rPr>
                <w:rFonts w:eastAsia="Times New Roman"/>
                <w:sz w:val="20"/>
                <w:szCs w:val="20"/>
                <w:lang w:eastAsia="sr-Latn-CS"/>
              </w:rPr>
              <w:t>1</w:t>
            </w:r>
            <w:r>
              <w:rPr>
                <w:rFonts w:eastAsia="Times New Roman"/>
                <w:sz w:val="20"/>
                <w:szCs w:val="20"/>
                <w:lang w:val="sr-Cyrl-RS" w:eastAsia="sr-Latn-CS"/>
              </w:rPr>
              <w:t>0</w:t>
            </w:r>
            <w:r w:rsidRPr="000538EE">
              <w:rPr>
                <w:rFonts w:eastAsia="Times New Roman"/>
                <w:sz w:val="20"/>
                <w:szCs w:val="20"/>
                <w:lang w:eastAsia="sr-Latn-CS"/>
              </w:rPr>
              <w:t>.</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Latn-RS" w:eastAsia="sr-Latn-CS"/>
              </w:rPr>
              <w:t xml:space="preserve">Lazic, B. (2013). Authentic assessment math tasks in classroom. International conference, in: M. Marjanovic, S. Jokic, J. Vuco (eds.). </w:t>
            </w:r>
            <w:r w:rsidRPr="000538EE">
              <w:rPr>
                <w:rFonts w:eastAsia="Times New Roman"/>
                <w:i/>
                <w:sz w:val="20"/>
                <w:szCs w:val="20"/>
                <w:lang w:val="sr-Latn-RS" w:eastAsia="sr-Latn-CS"/>
              </w:rPr>
              <w:t xml:space="preserve">Improvements in Subject Didactics and Education of Teachers ISDET 2013 </w:t>
            </w:r>
            <w:r w:rsidRPr="000538EE">
              <w:rPr>
                <w:rFonts w:eastAsia="Times New Roman"/>
                <w:sz w:val="20"/>
                <w:szCs w:val="20"/>
                <w:lang w:val="sr-Latn-RS" w:eastAsia="sr-Latn-CS"/>
              </w:rPr>
              <w:t>(Book of Abstracts)</w:t>
            </w:r>
            <w:r w:rsidRPr="000538EE">
              <w:rPr>
                <w:rFonts w:eastAsia="Times New Roman"/>
                <w:i/>
                <w:sz w:val="20"/>
                <w:szCs w:val="20"/>
                <w:lang w:val="sr-Latn-RS" w:eastAsia="sr-Latn-CS"/>
              </w:rPr>
              <w:t xml:space="preserve">. </w:t>
            </w:r>
            <w:r w:rsidRPr="000538EE">
              <w:rPr>
                <w:rFonts w:eastAsia="Times New Roman"/>
                <w:sz w:val="20"/>
                <w:szCs w:val="20"/>
                <w:lang w:val="sr-Latn-RS" w:eastAsia="sr-Latn-CS"/>
              </w:rPr>
              <w:t>Belgrade: Serbian Academy of Sciences and Arts, p. 17-18.</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М</w:t>
            </w:r>
            <w:r w:rsidRPr="000538EE">
              <w:rPr>
                <w:rFonts w:eastAsia="Times New Roman"/>
                <w:sz w:val="20"/>
                <w:szCs w:val="20"/>
                <w:lang w:val="sr-Cyrl-CS" w:eastAsia="sr-Latn-CS"/>
              </w:rPr>
              <w:t>34</w:t>
            </w:r>
          </w:p>
        </w:tc>
      </w:tr>
      <w:tr w:rsidR="00B443F6" w:rsidRPr="000538EE" w:rsidTr="00B85A64">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Pr>
                <w:rFonts w:eastAsia="Times New Roman"/>
                <w:sz w:val="20"/>
                <w:szCs w:val="20"/>
                <w:lang w:eastAsia="sr-Latn-CS"/>
              </w:rPr>
              <w:t>1</w:t>
            </w:r>
            <w:r>
              <w:rPr>
                <w:rFonts w:eastAsia="Times New Roman"/>
                <w:sz w:val="20"/>
                <w:szCs w:val="20"/>
                <w:lang w:val="sr-Cyrl-RS" w:eastAsia="sr-Latn-CS"/>
              </w:rPr>
              <w:t>1</w:t>
            </w:r>
            <w:r w:rsidRPr="000538EE">
              <w:rPr>
                <w:rFonts w:eastAsia="Times New Roman"/>
                <w:sz w:val="20"/>
                <w:szCs w:val="20"/>
                <w:lang w:eastAsia="sr-Latn-CS"/>
              </w:rPr>
              <w:t>.</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autoSpaceDE w:val="0"/>
              <w:autoSpaceDN w:val="0"/>
              <w:adjustRightInd w:val="0"/>
              <w:jc w:val="both"/>
              <w:rPr>
                <w:rFonts w:eastAsia="Times New Roman"/>
                <w:sz w:val="20"/>
                <w:szCs w:val="20"/>
                <w:lang w:val="sr-Latn-RS" w:eastAsia="sr-Latn-CS"/>
              </w:rPr>
            </w:pPr>
            <w:r w:rsidRPr="000538EE">
              <w:rPr>
                <w:rFonts w:eastAsia="Times New Roman"/>
                <w:sz w:val="20"/>
                <w:szCs w:val="20"/>
                <w:lang w:val="sr-Latn-RS" w:eastAsia="sr-Latn-CS"/>
              </w:rPr>
              <w:t xml:space="preserve">Milinković, J., Lazić, B. (2014). Formative assessment tasks in mathematics classroom, in: D. Obadović, N. Branković (eds.). </w:t>
            </w:r>
            <w:r w:rsidRPr="000538EE">
              <w:rPr>
                <w:rFonts w:eastAsia="Times New Roman"/>
                <w:i/>
                <w:sz w:val="20"/>
                <w:szCs w:val="20"/>
                <w:lang w:val="sr-Latn-RS" w:eastAsia="sr-Latn-CS"/>
              </w:rPr>
              <w:t xml:space="preserve">Multi-dimensional aspects of learning and teaching in science and mathematics education MALT </w:t>
            </w:r>
            <w:r w:rsidRPr="000538EE">
              <w:rPr>
                <w:rFonts w:eastAsia="Times New Roman"/>
                <w:sz w:val="20"/>
                <w:szCs w:val="20"/>
                <w:lang w:val="sr-Latn-RS" w:eastAsia="sr-Latn-CS"/>
              </w:rPr>
              <w:t xml:space="preserve">(Book of Abstracts). Sombor: Faculty of Education, p. 37. </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М 34</w:t>
            </w:r>
          </w:p>
        </w:tc>
      </w:tr>
      <w:tr w:rsidR="00B443F6" w:rsidRPr="000538EE" w:rsidTr="00B85A64">
        <w:tc>
          <w:tcPr>
            <w:tcW w:w="540"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eastAsia="sr-Latn-CS"/>
              </w:rPr>
            </w:pPr>
            <w:r>
              <w:rPr>
                <w:rFonts w:eastAsia="Times New Roman"/>
                <w:sz w:val="20"/>
                <w:szCs w:val="20"/>
                <w:lang w:eastAsia="sr-Latn-CS"/>
              </w:rPr>
              <w:t>1</w:t>
            </w:r>
            <w:r>
              <w:rPr>
                <w:rFonts w:eastAsia="Times New Roman"/>
                <w:sz w:val="20"/>
                <w:szCs w:val="20"/>
                <w:lang w:val="sr-Cyrl-RS" w:eastAsia="sr-Latn-CS"/>
              </w:rPr>
              <w:t>2</w:t>
            </w:r>
            <w:r w:rsidRPr="000538EE">
              <w:rPr>
                <w:rFonts w:eastAsia="Times New Roman"/>
                <w:sz w:val="20"/>
                <w:szCs w:val="20"/>
                <w:lang w:eastAsia="sr-Latn-CS"/>
              </w:rPr>
              <w:t>.</w:t>
            </w:r>
          </w:p>
        </w:tc>
        <w:tc>
          <w:tcPr>
            <w:tcW w:w="8729" w:type="dxa"/>
            <w:gridSpan w:val="10"/>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autoSpaceDE w:val="0"/>
              <w:autoSpaceDN w:val="0"/>
              <w:adjustRightInd w:val="0"/>
              <w:jc w:val="both"/>
              <w:rPr>
                <w:rFonts w:eastAsia="Times New Roman"/>
                <w:sz w:val="20"/>
                <w:szCs w:val="20"/>
                <w:lang w:val="sr-Latn-RS" w:eastAsia="sr-Latn-CS"/>
              </w:rPr>
            </w:pPr>
            <w:r w:rsidRPr="000538EE">
              <w:rPr>
                <w:rFonts w:eastAsia="Times New Roman"/>
                <w:sz w:val="20"/>
                <w:szCs w:val="20"/>
                <w:lang w:val="sr-Latn-RS" w:eastAsia="sr-Latn-CS"/>
              </w:rPr>
              <w:t xml:space="preserve">Lazić, B., Budinski, N., Maričić, S. (2014). Realistic Mathematics in Early Stage of Learning Fractions, in: D. Obadović, N. Branković (eds.). </w:t>
            </w:r>
            <w:r w:rsidRPr="000538EE">
              <w:rPr>
                <w:rFonts w:eastAsia="Times New Roman"/>
                <w:i/>
                <w:sz w:val="20"/>
                <w:szCs w:val="20"/>
                <w:lang w:val="sr-Latn-RS" w:eastAsia="sr-Latn-CS"/>
              </w:rPr>
              <w:t xml:space="preserve">Multi-dimensional aspects of learning and teaching in science and </w:t>
            </w:r>
            <w:r w:rsidRPr="000538EE">
              <w:rPr>
                <w:rFonts w:eastAsia="Times New Roman"/>
                <w:i/>
                <w:sz w:val="20"/>
                <w:szCs w:val="20"/>
                <w:lang w:val="sr-Latn-RS" w:eastAsia="sr-Latn-CS"/>
              </w:rPr>
              <w:lastRenderedPageBreak/>
              <w:t xml:space="preserve">mathematics education MALT </w:t>
            </w:r>
            <w:r w:rsidRPr="000538EE">
              <w:rPr>
                <w:rFonts w:eastAsia="Times New Roman"/>
                <w:sz w:val="20"/>
                <w:szCs w:val="20"/>
                <w:lang w:val="sr-Latn-RS" w:eastAsia="sr-Latn-CS"/>
              </w:rPr>
              <w:t xml:space="preserve">(Book of Abstracts). Sombor: Faculty of Education, p. 35. </w:t>
            </w:r>
          </w:p>
        </w:tc>
        <w:tc>
          <w:tcPr>
            <w:tcW w:w="655" w:type="dxa"/>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lastRenderedPageBreak/>
              <w:t>М 34</w:t>
            </w:r>
          </w:p>
        </w:tc>
      </w:tr>
      <w:tr w:rsidR="00B443F6" w:rsidRPr="000538EE" w:rsidTr="000538EE">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b/>
                <w:sz w:val="20"/>
                <w:szCs w:val="20"/>
                <w:lang w:val="sr-Cyrl-CS" w:eastAsia="sr-Latn-CS"/>
              </w:rPr>
              <w:t>Збирни подаци научне активност наставника</w:t>
            </w:r>
          </w:p>
        </w:tc>
      </w:tr>
      <w:tr w:rsidR="00B443F6" w:rsidRPr="000538EE" w:rsidTr="00B85A64">
        <w:tc>
          <w:tcPr>
            <w:tcW w:w="4678" w:type="dxa"/>
            <w:gridSpan w:val="6"/>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Укупан број цитата, без аутоцитата</w:t>
            </w:r>
          </w:p>
        </w:tc>
        <w:tc>
          <w:tcPr>
            <w:tcW w:w="5246" w:type="dxa"/>
            <w:gridSpan w:val="6"/>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Latn-RS" w:eastAsia="sr-Latn-CS"/>
              </w:rPr>
            </w:pPr>
            <w:r w:rsidRPr="000538EE">
              <w:rPr>
                <w:rFonts w:eastAsia="Times New Roman"/>
                <w:sz w:val="20"/>
                <w:szCs w:val="20"/>
                <w:lang w:val="sr-Latn-RS" w:eastAsia="sr-Latn-CS"/>
              </w:rPr>
              <w:t>15</w:t>
            </w:r>
          </w:p>
        </w:tc>
      </w:tr>
      <w:tr w:rsidR="00B443F6" w:rsidRPr="000538EE" w:rsidTr="00B85A64">
        <w:tc>
          <w:tcPr>
            <w:tcW w:w="4678" w:type="dxa"/>
            <w:gridSpan w:val="6"/>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Укупан број радова са SCI (или SSCI) листе</w:t>
            </w:r>
          </w:p>
        </w:tc>
        <w:tc>
          <w:tcPr>
            <w:tcW w:w="5246" w:type="dxa"/>
            <w:gridSpan w:val="6"/>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Latn-RS" w:eastAsia="sr-Latn-CS"/>
              </w:rPr>
            </w:pPr>
            <w:r w:rsidRPr="000538EE">
              <w:rPr>
                <w:rFonts w:eastAsia="Times New Roman"/>
                <w:sz w:val="20"/>
                <w:szCs w:val="20"/>
                <w:lang w:val="sr-Latn-RS" w:eastAsia="sr-Latn-CS"/>
              </w:rPr>
              <w:t>1</w:t>
            </w:r>
          </w:p>
        </w:tc>
      </w:tr>
      <w:tr w:rsidR="00B443F6" w:rsidRPr="000538EE" w:rsidTr="00B85A64">
        <w:tc>
          <w:tcPr>
            <w:tcW w:w="4678" w:type="dxa"/>
            <w:gridSpan w:val="6"/>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Тренутно учешће на пројектима</w:t>
            </w:r>
          </w:p>
        </w:tc>
        <w:tc>
          <w:tcPr>
            <w:tcW w:w="2334" w:type="dxa"/>
            <w:gridSpan w:val="3"/>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F25B3D">
            <w:pPr>
              <w:widowControl w:val="0"/>
              <w:tabs>
                <w:tab w:val="left" w:pos="567"/>
              </w:tabs>
              <w:autoSpaceDE w:val="0"/>
              <w:autoSpaceDN w:val="0"/>
              <w:adjustRightInd w:val="0"/>
              <w:spacing w:after="60"/>
              <w:rPr>
                <w:rFonts w:eastAsia="Times New Roman"/>
                <w:sz w:val="20"/>
                <w:szCs w:val="20"/>
                <w:lang w:val="sr-Latn-RS" w:eastAsia="sr-Latn-CS"/>
              </w:rPr>
            </w:pPr>
            <w:r>
              <w:rPr>
                <w:rFonts w:eastAsia="Times New Roman"/>
                <w:sz w:val="20"/>
                <w:szCs w:val="20"/>
                <w:lang w:val="sr-Cyrl-CS" w:eastAsia="sr-Latn-CS"/>
              </w:rPr>
              <w:t>Домаћи:</w:t>
            </w:r>
            <w:r w:rsidRPr="000538EE">
              <w:rPr>
                <w:rFonts w:eastAsia="Times New Roman"/>
                <w:sz w:val="20"/>
                <w:szCs w:val="20"/>
                <w:lang w:val="sr-Cyrl-CS" w:eastAsia="sr-Latn-CS"/>
              </w:rPr>
              <w:t xml:space="preserve"> </w:t>
            </w:r>
            <w:r w:rsidRPr="000538EE">
              <w:rPr>
                <w:rFonts w:eastAsia="Times New Roman"/>
                <w:sz w:val="20"/>
                <w:szCs w:val="20"/>
                <w:lang w:val="sr-Latn-RS" w:eastAsia="sr-Latn-CS"/>
              </w:rPr>
              <w:t>2</w:t>
            </w:r>
          </w:p>
        </w:tc>
        <w:tc>
          <w:tcPr>
            <w:tcW w:w="2912" w:type="dxa"/>
            <w:gridSpan w:val="3"/>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F25B3D">
            <w:pPr>
              <w:widowControl w:val="0"/>
              <w:tabs>
                <w:tab w:val="left" w:pos="567"/>
              </w:tabs>
              <w:autoSpaceDE w:val="0"/>
              <w:autoSpaceDN w:val="0"/>
              <w:adjustRightInd w:val="0"/>
              <w:spacing w:after="60"/>
              <w:rPr>
                <w:rFonts w:eastAsia="Times New Roman"/>
                <w:sz w:val="20"/>
                <w:szCs w:val="20"/>
                <w:lang w:val="sr-Cyrl-CS" w:eastAsia="sr-Latn-CS"/>
              </w:rPr>
            </w:pPr>
            <w:r>
              <w:rPr>
                <w:rFonts w:eastAsia="Times New Roman"/>
                <w:sz w:val="20"/>
                <w:szCs w:val="20"/>
                <w:lang w:val="sr-Cyrl-CS" w:eastAsia="sr-Latn-CS"/>
              </w:rPr>
              <w:t>Међународни: -</w:t>
            </w:r>
          </w:p>
        </w:tc>
      </w:tr>
      <w:tr w:rsidR="00B443F6" w:rsidRPr="000538EE" w:rsidTr="00B85A64">
        <w:tc>
          <w:tcPr>
            <w:tcW w:w="4678" w:type="dxa"/>
            <w:gridSpan w:val="6"/>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 xml:space="preserve">Усавршавања </w:t>
            </w:r>
          </w:p>
        </w:tc>
        <w:tc>
          <w:tcPr>
            <w:tcW w:w="5246" w:type="dxa"/>
            <w:gridSpan w:val="6"/>
            <w:tcBorders>
              <w:top w:val="single" w:sz="4" w:space="0" w:color="auto"/>
              <w:left w:val="single" w:sz="4" w:space="0" w:color="auto"/>
              <w:bottom w:val="single" w:sz="4" w:space="0" w:color="auto"/>
              <w:right w:val="single" w:sz="4" w:space="0" w:color="auto"/>
            </w:tcBorders>
            <w:vAlign w:val="center"/>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p>
        </w:tc>
      </w:tr>
      <w:tr w:rsidR="00B443F6" w:rsidRPr="000538EE" w:rsidTr="000538EE">
        <w:tc>
          <w:tcPr>
            <w:tcW w:w="9924" w:type="dxa"/>
            <w:gridSpan w:val="12"/>
            <w:tcBorders>
              <w:top w:val="single" w:sz="4" w:space="0" w:color="auto"/>
              <w:left w:val="single" w:sz="4" w:space="0" w:color="auto"/>
              <w:bottom w:val="single" w:sz="4" w:space="0" w:color="auto"/>
              <w:right w:val="single" w:sz="4" w:space="0" w:color="auto"/>
            </w:tcBorders>
            <w:vAlign w:val="center"/>
            <w:hideMark/>
          </w:tcPr>
          <w:p w:rsidR="00B443F6" w:rsidRPr="000538EE" w:rsidRDefault="00B443F6" w:rsidP="000538EE">
            <w:pPr>
              <w:widowControl w:val="0"/>
              <w:tabs>
                <w:tab w:val="left" w:pos="567"/>
              </w:tabs>
              <w:autoSpaceDE w:val="0"/>
              <w:autoSpaceDN w:val="0"/>
              <w:adjustRightInd w:val="0"/>
              <w:spacing w:after="60"/>
              <w:rPr>
                <w:rFonts w:eastAsia="Times New Roman"/>
                <w:sz w:val="20"/>
                <w:szCs w:val="20"/>
                <w:lang w:val="sr-Cyrl-CS" w:eastAsia="sr-Latn-CS"/>
              </w:rPr>
            </w:pPr>
            <w:r w:rsidRPr="000538EE">
              <w:rPr>
                <w:rFonts w:eastAsia="Times New Roman"/>
                <w:sz w:val="20"/>
                <w:szCs w:val="20"/>
                <w:lang w:val="sr-Cyrl-CS" w:eastAsia="sr-Latn-CS"/>
              </w:rPr>
              <w:t>Други подаци које сматрате релевантним</w:t>
            </w:r>
          </w:p>
        </w:tc>
      </w:tr>
      <w:tr w:rsidR="00B443F6" w:rsidRPr="000538EE" w:rsidTr="009625A2">
        <w:tc>
          <w:tcPr>
            <w:tcW w:w="9924" w:type="dxa"/>
            <w:gridSpan w:val="12"/>
            <w:tcBorders>
              <w:top w:val="single" w:sz="4" w:space="0" w:color="auto"/>
              <w:left w:val="single" w:sz="4" w:space="0" w:color="auto"/>
              <w:bottom w:val="single" w:sz="4" w:space="0" w:color="auto"/>
              <w:right w:val="single" w:sz="4" w:space="0" w:color="auto"/>
            </w:tcBorders>
            <w:vAlign w:val="center"/>
          </w:tcPr>
          <w:p w:rsidR="00B443F6" w:rsidRPr="000538EE" w:rsidRDefault="00B443F6" w:rsidP="009625A2">
            <w:pPr>
              <w:widowControl w:val="0"/>
              <w:tabs>
                <w:tab w:val="left" w:pos="567"/>
              </w:tabs>
              <w:autoSpaceDE w:val="0"/>
              <w:autoSpaceDN w:val="0"/>
              <w:adjustRightInd w:val="0"/>
              <w:spacing w:after="60"/>
              <w:jc w:val="right"/>
              <w:rPr>
                <w:rFonts w:eastAsia="Times New Roman"/>
                <w:sz w:val="20"/>
                <w:szCs w:val="20"/>
                <w:lang w:val="sr-Cyrl-CS" w:eastAsia="sr-Latn-CS"/>
              </w:rPr>
            </w:pP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0538EE" w:rsidRDefault="000538EE" w:rsidP="00E36EE2">
      <w:pPr>
        <w:rPr>
          <w:sz w:val="20"/>
          <w:szCs w:val="20"/>
          <w:lang w:val="sr-Cyrl-RS"/>
        </w:rPr>
      </w:pPr>
    </w:p>
    <w:p w:rsidR="000538EE" w:rsidRPr="004B0977" w:rsidRDefault="000538EE" w:rsidP="00E36EE2">
      <w:pPr>
        <w:rPr>
          <w:sz w:val="20"/>
          <w:szCs w:val="20"/>
          <w:lang w:val="sr-Cyrl-RS"/>
        </w:rPr>
      </w:pPr>
    </w:p>
    <w:p w:rsidR="004B0977" w:rsidRPr="004B0977" w:rsidRDefault="004B0977" w:rsidP="00E36EE2">
      <w:pPr>
        <w:rPr>
          <w:sz w:val="20"/>
          <w:szCs w:val="20"/>
          <w:lang w:val="sr-Cyrl-RS"/>
        </w:rPr>
      </w:pPr>
    </w:p>
    <w:p w:rsidR="004B0977" w:rsidRPr="004B0977" w:rsidRDefault="004B0977" w:rsidP="00E36EE2">
      <w:pPr>
        <w:rPr>
          <w:sz w:val="20"/>
          <w:szCs w:val="20"/>
          <w:lang w:val="sr-Cyrl-RS"/>
        </w:rPr>
      </w:pPr>
    </w:p>
    <w:p w:rsidR="004B0977" w:rsidRDefault="004B0977"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F25B3D" w:rsidRDefault="00F25B3D" w:rsidP="00E36EE2">
      <w:pPr>
        <w:rPr>
          <w:sz w:val="20"/>
          <w:szCs w:val="20"/>
          <w:lang w:val="sr-Cyrl-RS"/>
        </w:rPr>
      </w:pPr>
    </w:p>
    <w:p w:rsidR="00F25B3D" w:rsidRDefault="00F25B3D" w:rsidP="00E36EE2">
      <w:pPr>
        <w:rPr>
          <w:sz w:val="20"/>
          <w:szCs w:val="20"/>
          <w:lang w:val="sr-Cyrl-RS"/>
        </w:rPr>
      </w:pPr>
    </w:p>
    <w:p w:rsidR="00F25B3D" w:rsidRDefault="00F25B3D" w:rsidP="00E36EE2">
      <w:pPr>
        <w:rPr>
          <w:sz w:val="20"/>
          <w:szCs w:val="20"/>
          <w:lang w:val="sr-Cyrl-RS"/>
        </w:rPr>
      </w:pPr>
    </w:p>
    <w:p w:rsidR="00F25B3D" w:rsidRDefault="00F25B3D" w:rsidP="00E36EE2">
      <w:pPr>
        <w:rPr>
          <w:sz w:val="20"/>
          <w:szCs w:val="20"/>
          <w:lang w:val="sr-Cyrl-RS"/>
        </w:rPr>
      </w:pPr>
    </w:p>
    <w:p w:rsidR="00F25B3D" w:rsidRDefault="00F25B3D"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2A193B" w:rsidRDefault="002A193B" w:rsidP="00E36EE2">
      <w:pPr>
        <w:rPr>
          <w:sz w:val="20"/>
          <w:szCs w:val="20"/>
          <w:lang w:val="sr-Cyrl-RS"/>
        </w:rPr>
      </w:pPr>
    </w:p>
    <w:p w:rsidR="002A193B" w:rsidRDefault="002A193B" w:rsidP="00E36EE2">
      <w:pPr>
        <w:rPr>
          <w:sz w:val="20"/>
          <w:szCs w:val="20"/>
          <w:lang w:val="sr-Cyrl-RS"/>
        </w:rPr>
      </w:pPr>
    </w:p>
    <w:p w:rsidR="002A193B" w:rsidRDefault="002A193B" w:rsidP="00E36EE2">
      <w:pPr>
        <w:rPr>
          <w:sz w:val="20"/>
          <w:szCs w:val="20"/>
          <w:lang w:val="sr-Cyrl-RS"/>
        </w:rPr>
      </w:pPr>
    </w:p>
    <w:p w:rsidR="002A193B" w:rsidRDefault="002A193B" w:rsidP="00E36EE2">
      <w:pPr>
        <w:rPr>
          <w:sz w:val="20"/>
          <w:szCs w:val="20"/>
          <w:lang w:val="sr-Cyrl-RS"/>
        </w:rPr>
      </w:pPr>
    </w:p>
    <w:p w:rsidR="002A193B" w:rsidRDefault="002A193B" w:rsidP="00E36EE2">
      <w:pPr>
        <w:rPr>
          <w:sz w:val="20"/>
          <w:szCs w:val="20"/>
          <w:lang w:val="sr-Cyrl-RS"/>
        </w:rPr>
      </w:pPr>
    </w:p>
    <w:p w:rsidR="002A193B" w:rsidRDefault="002A193B"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A193B" w:rsidRDefault="002A193B"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p w:rsidR="000538EE" w:rsidRDefault="000538EE" w:rsidP="00E36EE2">
      <w:pPr>
        <w:rPr>
          <w:sz w:val="20"/>
          <w:szCs w:val="20"/>
          <w:lang w:val="sr-Cyrl-RS"/>
        </w:rPr>
      </w:pPr>
    </w:p>
    <w:tbl>
      <w:tblPr>
        <w:tblW w:w="9781" w:type="dxa"/>
        <w:tblInd w:w="108" w:type="dxa"/>
        <w:tblLayout w:type="fixed"/>
        <w:tblLook w:val="04A0" w:firstRow="1" w:lastRow="0" w:firstColumn="1" w:lastColumn="0" w:noHBand="0" w:noVBand="1"/>
      </w:tblPr>
      <w:tblGrid>
        <w:gridCol w:w="540"/>
        <w:gridCol w:w="90"/>
        <w:gridCol w:w="1620"/>
        <w:gridCol w:w="900"/>
        <w:gridCol w:w="1018"/>
        <w:gridCol w:w="227"/>
        <w:gridCol w:w="1505"/>
        <w:gridCol w:w="196"/>
        <w:gridCol w:w="1104"/>
        <w:gridCol w:w="431"/>
        <w:gridCol w:w="1459"/>
        <w:gridCol w:w="691"/>
      </w:tblGrid>
      <w:tr w:rsidR="000538EE" w:rsidTr="00F25B3D">
        <w:tc>
          <w:tcPr>
            <w:tcW w:w="3150" w:type="dxa"/>
            <w:gridSpan w:val="4"/>
            <w:tcBorders>
              <w:top w:val="single" w:sz="2" w:space="0" w:color="000000"/>
              <w:left w:val="single" w:sz="2" w:space="0" w:color="000000"/>
              <w:bottom w:val="single" w:sz="2" w:space="0" w:color="000000"/>
              <w:right w:val="single" w:sz="2" w:space="0" w:color="000000"/>
            </w:tcBorders>
            <w:hideMark/>
          </w:tcPr>
          <w:p w:rsidR="000538EE" w:rsidRDefault="0005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b/>
                <w:bCs/>
                <w:kern w:val="2"/>
                <w:sz w:val="22"/>
                <w:szCs w:val="22"/>
                <w:lang w:val="sr-Cyrl-RS"/>
              </w:rPr>
            </w:pPr>
            <w:r>
              <w:rPr>
                <w:rFonts w:eastAsia="Times New Roman"/>
                <w:b/>
                <w:bCs/>
                <w:sz w:val="22"/>
                <w:szCs w:val="22"/>
                <w:lang w:val="sr-Cyrl-RS"/>
              </w:rPr>
              <w:lastRenderedPageBreak/>
              <w:t>Име и презиме</w:t>
            </w:r>
          </w:p>
        </w:tc>
        <w:tc>
          <w:tcPr>
            <w:tcW w:w="6631" w:type="dxa"/>
            <w:gridSpan w:val="8"/>
            <w:tcBorders>
              <w:top w:val="single" w:sz="2" w:space="0" w:color="000000"/>
              <w:left w:val="single" w:sz="2" w:space="0" w:color="000000"/>
              <w:bottom w:val="single" w:sz="2" w:space="0" w:color="000000"/>
              <w:right w:val="single" w:sz="2" w:space="0" w:color="000000"/>
            </w:tcBorders>
            <w:hideMark/>
          </w:tcPr>
          <w:p w:rsidR="000538EE" w:rsidRDefault="0005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sz w:val="22"/>
                <w:szCs w:val="22"/>
                <w:lang w:val="sr-Cyrl-CS"/>
              </w:rPr>
              <w:t xml:space="preserve">Драган </w:t>
            </w:r>
            <w:bookmarkStart w:id="5" w:name="Ламбић"/>
            <w:r>
              <w:rPr>
                <w:sz w:val="22"/>
                <w:szCs w:val="22"/>
                <w:lang w:val="sr-Cyrl-CS"/>
              </w:rPr>
              <w:t>Ламбић</w:t>
            </w:r>
            <w:bookmarkEnd w:id="5"/>
          </w:p>
        </w:tc>
      </w:tr>
      <w:tr w:rsidR="000538EE" w:rsidTr="00F25B3D">
        <w:tc>
          <w:tcPr>
            <w:tcW w:w="3150" w:type="dxa"/>
            <w:gridSpan w:val="4"/>
            <w:tcBorders>
              <w:top w:val="single" w:sz="2" w:space="0" w:color="000000"/>
              <w:left w:val="single" w:sz="2" w:space="0" w:color="000000"/>
              <w:bottom w:val="single" w:sz="2" w:space="0" w:color="000000"/>
              <w:right w:val="single" w:sz="2" w:space="0" w:color="000000"/>
            </w:tcBorders>
            <w:hideMark/>
          </w:tcPr>
          <w:p w:rsidR="000538EE" w:rsidRDefault="0005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b/>
                <w:bCs/>
                <w:kern w:val="2"/>
                <w:sz w:val="22"/>
                <w:szCs w:val="22"/>
                <w:lang w:val="sr-Cyrl-RS"/>
              </w:rPr>
            </w:pPr>
            <w:r>
              <w:rPr>
                <w:rFonts w:eastAsia="Times New Roman"/>
                <w:b/>
                <w:bCs/>
                <w:sz w:val="22"/>
                <w:szCs w:val="22"/>
                <w:lang w:val="sr-Cyrl-RS"/>
              </w:rPr>
              <w:t>Звање</w:t>
            </w:r>
          </w:p>
        </w:tc>
        <w:tc>
          <w:tcPr>
            <w:tcW w:w="6631" w:type="dxa"/>
            <w:gridSpan w:val="8"/>
            <w:tcBorders>
              <w:top w:val="single" w:sz="2" w:space="0" w:color="000000"/>
              <w:left w:val="single" w:sz="2" w:space="0" w:color="000000"/>
              <w:bottom w:val="single" w:sz="2" w:space="0" w:color="000000"/>
              <w:right w:val="single" w:sz="2" w:space="0" w:color="000000"/>
            </w:tcBorders>
            <w:hideMark/>
          </w:tcPr>
          <w:p w:rsidR="000538EE" w:rsidRDefault="0005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Ванредни професор</w:t>
            </w:r>
          </w:p>
        </w:tc>
      </w:tr>
      <w:tr w:rsidR="000538EE" w:rsidTr="00F25B3D">
        <w:tc>
          <w:tcPr>
            <w:tcW w:w="3150" w:type="dxa"/>
            <w:gridSpan w:val="4"/>
            <w:tcBorders>
              <w:top w:val="single" w:sz="2" w:space="0" w:color="000000"/>
              <w:left w:val="single" w:sz="2" w:space="0" w:color="000000"/>
              <w:bottom w:val="single" w:sz="2" w:space="0" w:color="000000"/>
              <w:right w:val="single" w:sz="2" w:space="0" w:color="000000"/>
            </w:tcBorders>
            <w:hideMark/>
          </w:tcPr>
          <w:p w:rsidR="000538EE" w:rsidRDefault="0005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b/>
                <w:bCs/>
                <w:kern w:val="2"/>
                <w:sz w:val="22"/>
                <w:szCs w:val="22"/>
                <w:lang w:val="sr-Cyrl-RS"/>
              </w:rPr>
            </w:pPr>
            <w:r>
              <w:rPr>
                <w:rFonts w:eastAsia="Times New Roman"/>
                <w:b/>
                <w:bCs/>
                <w:sz w:val="22"/>
                <w:szCs w:val="22"/>
                <w:lang w:val="sr-Cyrl-RS"/>
              </w:rPr>
              <w:t>Ужа научна област</w:t>
            </w:r>
          </w:p>
        </w:tc>
        <w:tc>
          <w:tcPr>
            <w:tcW w:w="6631" w:type="dxa"/>
            <w:gridSpan w:val="8"/>
            <w:tcBorders>
              <w:top w:val="single" w:sz="2" w:space="0" w:color="000000"/>
              <w:left w:val="single" w:sz="2" w:space="0" w:color="000000"/>
              <w:bottom w:val="single" w:sz="2" w:space="0" w:color="000000"/>
              <w:right w:val="single" w:sz="2" w:space="0" w:color="000000"/>
            </w:tcBorders>
            <w:hideMark/>
          </w:tcPr>
          <w:p w:rsidR="000538EE" w:rsidRDefault="000538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napToGrid w:val="0"/>
              <w:rPr>
                <w:rFonts w:eastAsia="Times New Roman"/>
                <w:kern w:val="2"/>
                <w:sz w:val="22"/>
                <w:szCs w:val="22"/>
                <w:lang w:val="sr-Cyrl-RS"/>
              </w:rPr>
            </w:pPr>
            <w:r>
              <w:rPr>
                <w:rFonts w:eastAsia="Times New Roman"/>
                <w:sz w:val="22"/>
                <w:szCs w:val="22"/>
                <w:lang w:val="sr-Cyrl-RS"/>
              </w:rPr>
              <w:t>Информатика са методиком наставе</w:t>
            </w:r>
          </w:p>
        </w:tc>
      </w:tr>
      <w:tr w:rsidR="00914094" w:rsidTr="002351C4">
        <w:tc>
          <w:tcPr>
            <w:tcW w:w="2250"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rsidP="00F25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b/>
                <w:bCs/>
                <w:kern w:val="2"/>
                <w:sz w:val="22"/>
                <w:szCs w:val="22"/>
                <w:lang w:val="sr-Cyrl-RS"/>
              </w:rPr>
            </w:pPr>
            <w:r>
              <w:rPr>
                <w:rFonts w:eastAsia="Times New Roman"/>
                <w:b/>
                <w:bCs/>
                <w:sz w:val="22"/>
                <w:szCs w:val="22"/>
                <w:lang w:val="sr-Cyrl-RS"/>
              </w:rPr>
              <w:t>Академска каријера</w:t>
            </w:r>
          </w:p>
        </w:tc>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rsidP="00F25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 xml:space="preserve">Година </w:t>
            </w:r>
          </w:p>
        </w:tc>
        <w:tc>
          <w:tcPr>
            <w:tcW w:w="4050" w:type="dxa"/>
            <w:gridSpan w:val="5"/>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rsidP="00F25B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Институција</w:t>
            </w:r>
          </w:p>
        </w:tc>
        <w:tc>
          <w:tcPr>
            <w:tcW w:w="2581"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Pr="004B0977" w:rsidRDefault="00914094" w:rsidP="00F25B3D">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914094" w:rsidTr="002351C4">
        <w:tc>
          <w:tcPr>
            <w:tcW w:w="2250"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Избор у звање</w:t>
            </w:r>
          </w:p>
        </w:tc>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pPr>
              <w:widowControl w:val="0"/>
              <w:tabs>
                <w:tab w:val="left" w:pos="567"/>
              </w:tabs>
              <w:suppressAutoHyphens/>
              <w:spacing w:after="60"/>
              <w:jc w:val="center"/>
              <w:rPr>
                <w:rFonts w:eastAsia="Lucida Sans Unicode"/>
                <w:kern w:val="2"/>
                <w:sz w:val="22"/>
                <w:szCs w:val="22"/>
              </w:rPr>
            </w:pPr>
            <w:r>
              <w:rPr>
                <w:sz w:val="22"/>
                <w:szCs w:val="22"/>
              </w:rPr>
              <w:t>2017.</w:t>
            </w:r>
          </w:p>
        </w:tc>
        <w:tc>
          <w:tcPr>
            <w:tcW w:w="4050" w:type="dxa"/>
            <w:gridSpan w:val="5"/>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pPr>
              <w:widowControl w:val="0"/>
              <w:tabs>
                <w:tab w:val="left" w:pos="567"/>
              </w:tabs>
              <w:suppressAutoHyphens/>
              <w:spacing w:after="60"/>
              <w:rPr>
                <w:rFonts w:eastAsia="Lucida Sans Unicode"/>
                <w:kern w:val="2"/>
                <w:sz w:val="22"/>
                <w:szCs w:val="22"/>
                <w:lang w:val="sr-Cyrl-CS"/>
              </w:rPr>
            </w:pPr>
            <w:r>
              <w:rPr>
                <w:sz w:val="22"/>
                <w:szCs w:val="22"/>
                <w:lang w:val="sr-Cyrl-CS"/>
              </w:rPr>
              <w:t xml:space="preserve">Педагошки факултет </w:t>
            </w:r>
            <w:r w:rsidR="00F25B3D">
              <w:rPr>
                <w:sz w:val="22"/>
                <w:szCs w:val="22"/>
                <w:lang w:val="sr-Cyrl-CS"/>
              </w:rPr>
              <w:t xml:space="preserve">у </w:t>
            </w:r>
            <w:r>
              <w:rPr>
                <w:sz w:val="22"/>
                <w:szCs w:val="22"/>
                <w:lang w:val="sr-Cyrl-CS"/>
              </w:rPr>
              <w:t>Сомбор</w:t>
            </w:r>
            <w:r w:rsidR="00F25B3D">
              <w:rPr>
                <w:sz w:val="22"/>
                <w:szCs w:val="22"/>
                <w:lang w:val="sr-Cyrl-CS"/>
              </w:rPr>
              <w:t>у, УНС</w:t>
            </w:r>
          </w:p>
        </w:tc>
        <w:tc>
          <w:tcPr>
            <w:tcW w:w="2581"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567"/>
              </w:tabs>
              <w:suppressAutoHyphens/>
              <w:spacing w:after="60"/>
              <w:rPr>
                <w:rFonts w:eastAsia="Lucida Sans Unicode"/>
                <w:kern w:val="2"/>
                <w:sz w:val="22"/>
                <w:szCs w:val="22"/>
                <w:lang w:val="sr-Cyrl-CS"/>
              </w:rPr>
            </w:pPr>
            <w:r>
              <w:rPr>
                <w:sz w:val="22"/>
                <w:szCs w:val="22"/>
                <w:lang w:val="sr-Cyrl-CS"/>
              </w:rPr>
              <w:t>Информатика са методиком наставе</w:t>
            </w:r>
          </w:p>
        </w:tc>
      </w:tr>
      <w:tr w:rsidR="00914094" w:rsidTr="002351C4">
        <w:tc>
          <w:tcPr>
            <w:tcW w:w="2250"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Докторат</w:t>
            </w:r>
          </w:p>
        </w:tc>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pPr>
              <w:widowControl w:val="0"/>
              <w:tabs>
                <w:tab w:val="left" w:pos="567"/>
              </w:tabs>
              <w:suppressAutoHyphens/>
              <w:spacing w:after="60"/>
              <w:jc w:val="center"/>
              <w:rPr>
                <w:rFonts w:eastAsia="Lucida Sans Unicode"/>
                <w:kern w:val="2"/>
                <w:sz w:val="22"/>
                <w:szCs w:val="22"/>
              </w:rPr>
            </w:pPr>
            <w:r>
              <w:rPr>
                <w:sz w:val="22"/>
                <w:szCs w:val="22"/>
              </w:rPr>
              <w:t>2012.</w:t>
            </w:r>
          </w:p>
        </w:tc>
        <w:tc>
          <w:tcPr>
            <w:tcW w:w="4050" w:type="dxa"/>
            <w:gridSpan w:val="5"/>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rsidP="00F25B3D">
            <w:pPr>
              <w:widowControl w:val="0"/>
              <w:tabs>
                <w:tab w:val="left" w:pos="567"/>
              </w:tabs>
              <w:suppressAutoHyphens/>
              <w:spacing w:after="60"/>
              <w:rPr>
                <w:rFonts w:eastAsia="Lucida Sans Unicode"/>
                <w:kern w:val="2"/>
                <w:sz w:val="22"/>
                <w:szCs w:val="22"/>
                <w:lang w:val="sr-Cyrl-CS"/>
              </w:rPr>
            </w:pPr>
            <w:r>
              <w:rPr>
                <w:sz w:val="22"/>
                <w:szCs w:val="22"/>
                <w:lang w:val="sr-Cyrl-CS"/>
              </w:rPr>
              <w:t xml:space="preserve">Математички факултет, </w:t>
            </w:r>
            <w:r w:rsidR="00F25B3D">
              <w:rPr>
                <w:sz w:val="22"/>
                <w:szCs w:val="22"/>
                <w:lang w:val="sr-Cyrl-CS"/>
              </w:rPr>
              <w:t>Универзитет у Београду</w:t>
            </w:r>
          </w:p>
        </w:tc>
        <w:tc>
          <w:tcPr>
            <w:tcW w:w="2581"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567"/>
              </w:tabs>
              <w:suppressAutoHyphens/>
              <w:spacing w:after="60"/>
              <w:rPr>
                <w:rFonts w:eastAsia="Lucida Sans Unicode"/>
                <w:kern w:val="2"/>
                <w:sz w:val="22"/>
                <w:szCs w:val="22"/>
                <w:lang w:val="sr-Cyrl-CS"/>
              </w:rPr>
            </w:pPr>
            <w:r>
              <w:rPr>
                <w:sz w:val="22"/>
                <w:szCs w:val="22"/>
                <w:lang w:val="sr-Cyrl-CS"/>
              </w:rPr>
              <w:t>Математичке науке</w:t>
            </w:r>
          </w:p>
        </w:tc>
      </w:tr>
      <w:tr w:rsidR="00914094" w:rsidTr="002351C4">
        <w:tc>
          <w:tcPr>
            <w:tcW w:w="2250"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Магистратура</w:t>
            </w:r>
          </w:p>
        </w:tc>
        <w:tc>
          <w:tcPr>
            <w:tcW w:w="90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pPr>
              <w:widowControl w:val="0"/>
              <w:tabs>
                <w:tab w:val="left" w:pos="567"/>
              </w:tabs>
              <w:suppressAutoHyphens/>
              <w:spacing w:after="60"/>
              <w:jc w:val="center"/>
              <w:rPr>
                <w:rFonts w:eastAsia="Lucida Sans Unicode"/>
                <w:kern w:val="2"/>
                <w:sz w:val="22"/>
                <w:szCs w:val="22"/>
                <w:lang w:val="sr-Latn-RS"/>
              </w:rPr>
            </w:pPr>
            <w:r>
              <w:rPr>
                <w:sz w:val="22"/>
                <w:szCs w:val="22"/>
                <w:lang w:val="sr-Cyrl-CS"/>
              </w:rPr>
              <w:t>2007</w:t>
            </w:r>
            <w:r>
              <w:rPr>
                <w:sz w:val="22"/>
                <w:szCs w:val="22"/>
                <w:lang w:val="sr-Latn-RS"/>
              </w:rPr>
              <w:t>.</w:t>
            </w:r>
          </w:p>
        </w:tc>
        <w:tc>
          <w:tcPr>
            <w:tcW w:w="4050" w:type="dxa"/>
            <w:gridSpan w:val="5"/>
            <w:tcBorders>
              <w:top w:val="single" w:sz="2" w:space="0" w:color="000000"/>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pPr>
              <w:widowControl w:val="0"/>
              <w:tabs>
                <w:tab w:val="left" w:pos="567"/>
              </w:tabs>
              <w:suppressAutoHyphens/>
              <w:spacing w:after="60"/>
              <w:rPr>
                <w:rFonts w:eastAsia="Lucida Sans Unicode"/>
                <w:kern w:val="2"/>
                <w:sz w:val="22"/>
                <w:szCs w:val="22"/>
                <w:lang w:val="sr-Cyrl-CS"/>
              </w:rPr>
            </w:pPr>
            <w:r>
              <w:rPr>
                <w:sz w:val="22"/>
                <w:szCs w:val="22"/>
                <w:lang w:val="sr-Cyrl-CS"/>
              </w:rPr>
              <w:t>Технички факултет "Михајло Пупин" Зрењанин</w:t>
            </w:r>
            <w:r w:rsidR="00F25B3D">
              <w:rPr>
                <w:sz w:val="22"/>
                <w:szCs w:val="22"/>
                <w:lang w:val="sr-Cyrl-CS"/>
              </w:rPr>
              <w:t>, УНС</w:t>
            </w:r>
          </w:p>
        </w:tc>
        <w:tc>
          <w:tcPr>
            <w:tcW w:w="2581" w:type="dxa"/>
            <w:gridSpan w:val="3"/>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567"/>
              </w:tabs>
              <w:suppressAutoHyphens/>
              <w:spacing w:after="60"/>
              <w:rPr>
                <w:rFonts w:eastAsia="Lucida Sans Unicode"/>
                <w:kern w:val="2"/>
                <w:sz w:val="22"/>
                <w:szCs w:val="22"/>
                <w:lang w:val="sr-Cyrl-CS"/>
              </w:rPr>
            </w:pPr>
            <w:r>
              <w:rPr>
                <w:sz w:val="22"/>
                <w:szCs w:val="22"/>
                <w:lang w:val="sr-Cyrl-CS"/>
              </w:rPr>
              <w:t>Техничке науке</w:t>
            </w:r>
          </w:p>
        </w:tc>
      </w:tr>
      <w:tr w:rsidR="00914094" w:rsidTr="002351C4">
        <w:tc>
          <w:tcPr>
            <w:tcW w:w="2250" w:type="dxa"/>
            <w:gridSpan w:val="3"/>
            <w:tcBorders>
              <w:top w:val="nil"/>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Диплома</w:t>
            </w:r>
          </w:p>
        </w:tc>
        <w:tc>
          <w:tcPr>
            <w:tcW w:w="900" w:type="dxa"/>
            <w:tcBorders>
              <w:top w:val="nil"/>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pPr>
              <w:widowControl w:val="0"/>
              <w:tabs>
                <w:tab w:val="left" w:pos="567"/>
              </w:tabs>
              <w:suppressAutoHyphens/>
              <w:spacing w:after="60"/>
              <w:jc w:val="center"/>
              <w:rPr>
                <w:rFonts w:eastAsia="Lucida Sans Unicode"/>
                <w:kern w:val="2"/>
                <w:sz w:val="22"/>
                <w:szCs w:val="22"/>
                <w:lang w:val="sr-Latn-RS"/>
              </w:rPr>
            </w:pPr>
            <w:r>
              <w:rPr>
                <w:sz w:val="22"/>
                <w:szCs w:val="22"/>
                <w:lang w:val="sr-Cyrl-CS"/>
              </w:rPr>
              <w:t>2006</w:t>
            </w:r>
            <w:r>
              <w:rPr>
                <w:sz w:val="22"/>
                <w:szCs w:val="22"/>
                <w:lang w:val="sr-Latn-RS"/>
              </w:rPr>
              <w:t>.</w:t>
            </w:r>
          </w:p>
        </w:tc>
        <w:tc>
          <w:tcPr>
            <w:tcW w:w="4050" w:type="dxa"/>
            <w:gridSpan w:val="5"/>
            <w:tcBorders>
              <w:top w:val="nil"/>
              <w:left w:val="single" w:sz="2" w:space="0" w:color="000000"/>
              <w:bottom w:val="single" w:sz="2" w:space="0" w:color="000000"/>
              <w:right w:val="single" w:sz="2" w:space="0" w:color="000000"/>
            </w:tcBorders>
            <w:tcMar>
              <w:top w:w="0" w:type="dxa"/>
              <w:left w:w="108" w:type="dxa"/>
              <w:bottom w:w="0" w:type="dxa"/>
              <w:right w:w="0" w:type="dxa"/>
            </w:tcMar>
            <w:vAlign w:val="center"/>
            <w:hideMark/>
          </w:tcPr>
          <w:p w:rsidR="00914094" w:rsidRDefault="00914094" w:rsidP="002351C4">
            <w:pPr>
              <w:widowControl w:val="0"/>
              <w:tabs>
                <w:tab w:val="left" w:pos="567"/>
              </w:tabs>
              <w:suppressAutoHyphens/>
              <w:spacing w:after="60"/>
              <w:rPr>
                <w:rFonts w:eastAsia="Lucida Sans Unicode"/>
                <w:kern w:val="2"/>
                <w:sz w:val="22"/>
                <w:szCs w:val="22"/>
                <w:lang w:val="sr-Cyrl-CS"/>
              </w:rPr>
            </w:pPr>
            <w:r>
              <w:rPr>
                <w:sz w:val="22"/>
                <w:szCs w:val="22"/>
                <w:lang w:val="sr-Cyrl-CS"/>
              </w:rPr>
              <w:t xml:space="preserve">Математички факултет, </w:t>
            </w:r>
            <w:r w:rsidR="002351C4">
              <w:rPr>
                <w:sz w:val="22"/>
                <w:szCs w:val="22"/>
                <w:lang w:val="sr-Cyrl-CS"/>
              </w:rPr>
              <w:t>Универзитет у Београду</w:t>
            </w:r>
          </w:p>
        </w:tc>
        <w:tc>
          <w:tcPr>
            <w:tcW w:w="2581" w:type="dxa"/>
            <w:gridSpan w:val="3"/>
            <w:tcBorders>
              <w:top w:val="nil"/>
              <w:left w:val="single" w:sz="2" w:space="0" w:color="000000"/>
              <w:bottom w:val="single" w:sz="2" w:space="0" w:color="000000"/>
              <w:right w:val="single" w:sz="2" w:space="0" w:color="000000"/>
            </w:tcBorders>
            <w:vAlign w:val="center"/>
            <w:hideMark/>
          </w:tcPr>
          <w:p w:rsidR="00914094" w:rsidRDefault="00914094">
            <w:pPr>
              <w:widowControl w:val="0"/>
              <w:tabs>
                <w:tab w:val="left" w:pos="567"/>
              </w:tabs>
              <w:suppressAutoHyphens/>
              <w:spacing w:after="60"/>
              <w:rPr>
                <w:rFonts w:eastAsia="Lucida Sans Unicode"/>
                <w:kern w:val="2"/>
                <w:sz w:val="22"/>
                <w:szCs w:val="22"/>
                <w:lang w:val="sr-Cyrl-CS"/>
              </w:rPr>
            </w:pPr>
            <w:r>
              <w:rPr>
                <w:sz w:val="22"/>
                <w:szCs w:val="22"/>
                <w:lang w:val="sr-Cyrl-CS"/>
              </w:rPr>
              <w:t>Математичке науке</w:t>
            </w:r>
          </w:p>
        </w:tc>
      </w:tr>
      <w:tr w:rsidR="00914094" w:rsidTr="002B42F1">
        <w:tc>
          <w:tcPr>
            <w:tcW w:w="9781" w:type="dxa"/>
            <w:gridSpan w:val="12"/>
            <w:tcBorders>
              <w:top w:val="single" w:sz="2" w:space="0" w:color="000000"/>
              <w:left w:val="single" w:sz="2" w:space="0" w:color="000000"/>
              <w:bottom w:val="single" w:sz="2" w:space="0" w:color="000000"/>
              <w:right w:val="single" w:sz="2" w:space="0" w:color="000000"/>
            </w:tcBorders>
            <w:vAlign w:val="center"/>
            <w:hideMark/>
          </w:tcPr>
          <w:p w:rsidR="00914094" w:rsidRPr="004B0977" w:rsidRDefault="00914094"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914094" w:rsidTr="00B85A64">
        <w:tc>
          <w:tcPr>
            <w:tcW w:w="630" w:type="dxa"/>
            <w:gridSpan w:val="2"/>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Р.Б.</w:t>
            </w:r>
          </w:p>
        </w:tc>
        <w:tc>
          <w:tcPr>
            <w:tcW w:w="3765" w:type="dxa"/>
            <w:gridSpan w:val="4"/>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Наслов дисертације</w:t>
            </w:r>
          </w:p>
        </w:tc>
        <w:tc>
          <w:tcPr>
            <w:tcW w:w="1701" w:type="dxa"/>
            <w:gridSpan w:val="2"/>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Име кандидата</w:t>
            </w:r>
          </w:p>
        </w:tc>
        <w:tc>
          <w:tcPr>
            <w:tcW w:w="1535" w:type="dxa"/>
            <w:gridSpan w:val="2"/>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 xml:space="preserve">*пријављена </w:t>
            </w:r>
          </w:p>
        </w:tc>
        <w:tc>
          <w:tcPr>
            <w:tcW w:w="2150" w:type="dxa"/>
            <w:gridSpan w:val="2"/>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 одбрањена</w:t>
            </w:r>
          </w:p>
        </w:tc>
      </w:tr>
      <w:tr w:rsidR="00914094" w:rsidTr="00B85A64">
        <w:tc>
          <w:tcPr>
            <w:tcW w:w="630" w:type="dxa"/>
            <w:gridSpan w:val="2"/>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1.</w:t>
            </w:r>
          </w:p>
        </w:tc>
        <w:tc>
          <w:tcPr>
            <w:tcW w:w="3765" w:type="dxa"/>
            <w:gridSpan w:val="4"/>
            <w:tcBorders>
              <w:top w:val="single" w:sz="2" w:space="0" w:color="000000"/>
              <w:left w:val="single" w:sz="2" w:space="0" w:color="000000"/>
              <w:bottom w:val="single" w:sz="2" w:space="0" w:color="000000"/>
              <w:right w:val="single" w:sz="2" w:space="0" w:color="000000"/>
            </w:tcBorders>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p>
        </w:tc>
        <w:tc>
          <w:tcPr>
            <w:tcW w:w="1701" w:type="dxa"/>
            <w:gridSpan w:val="2"/>
            <w:tcBorders>
              <w:top w:val="single" w:sz="2" w:space="0" w:color="000000"/>
              <w:left w:val="single" w:sz="2" w:space="0" w:color="000000"/>
              <w:bottom w:val="single" w:sz="2" w:space="0" w:color="000000"/>
              <w:right w:val="single" w:sz="2" w:space="0" w:color="000000"/>
            </w:tcBorders>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p>
        </w:tc>
        <w:tc>
          <w:tcPr>
            <w:tcW w:w="1535" w:type="dxa"/>
            <w:gridSpan w:val="2"/>
            <w:tcBorders>
              <w:top w:val="single" w:sz="2" w:space="0" w:color="000000"/>
              <w:left w:val="single" w:sz="2" w:space="0" w:color="000000"/>
              <w:bottom w:val="single" w:sz="2" w:space="0" w:color="000000"/>
              <w:right w:val="single" w:sz="2" w:space="0" w:color="000000"/>
            </w:tcBorders>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p>
        </w:tc>
        <w:tc>
          <w:tcPr>
            <w:tcW w:w="2150" w:type="dxa"/>
            <w:gridSpan w:val="2"/>
            <w:tcBorders>
              <w:top w:val="single" w:sz="2" w:space="0" w:color="000000"/>
              <w:left w:val="single" w:sz="2" w:space="0" w:color="000000"/>
              <w:bottom w:val="single" w:sz="2" w:space="0" w:color="000000"/>
              <w:right w:val="single" w:sz="2" w:space="0" w:color="000000"/>
            </w:tcBorders>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p>
        </w:tc>
      </w:tr>
      <w:tr w:rsidR="00914094" w:rsidRPr="002B42F1" w:rsidTr="002B42F1">
        <w:tc>
          <w:tcPr>
            <w:tcW w:w="9781" w:type="dxa"/>
            <w:gridSpan w:val="12"/>
            <w:tcBorders>
              <w:top w:val="single" w:sz="2" w:space="0" w:color="000000"/>
              <w:left w:val="single" w:sz="2" w:space="0" w:color="000000"/>
              <w:bottom w:val="single" w:sz="2" w:space="0" w:color="000000"/>
              <w:right w:val="single" w:sz="2" w:space="0" w:color="000000"/>
            </w:tcBorders>
          </w:tcPr>
          <w:p w:rsidR="00914094" w:rsidRPr="002B42F1"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16"/>
                <w:szCs w:val="16"/>
                <w:lang w:val="sr-Cyrl-RS"/>
              </w:rPr>
            </w:pPr>
            <w:r w:rsidRPr="002B42F1">
              <w:rPr>
                <w:rFonts w:eastAsia="Times New Roman"/>
                <w:kern w:val="2"/>
                <w:sz w:val="16"/>
                <w:szCs w:val="16"/>
                <w:lang w:val="sr-Cyrl-R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914094" w:rsidRPr="00F25B3D" w:rsidTr="002B42F1">
        <w:tc>
          <w:tcPr>
            <w:tcW w:w="9781" w:type="dxa"/>
            <w:gridSpan w:val="12"/>
            <w:tcBorders>
              <w:top w:val="single" w:sz="2" w:space="0" w:color="000000"/>
              <w:left w:val="single" w:sz="2" w:space="0" w:color="000000"/>
              <w:bottom w:val="single" w:sz="2" w:space="0" w:color="000000"/>
              <w:right w:val="single" w:sz="2" w:space="0" w:color="000000"/>
            </w:tcBorders>
            <w:vAlign w:val="center"/>
            <w:hideMark/>
          </w:tcPr>
          <w:p w:rsidR="00914094" w:rsidRPr="00F25B3D" w:rsidRDefault="00914094" w:rsidP="002B42F1">
            <w:pPr>
              <w:widowControl w:val="0"/>
              <w:tabs>
                <w:tab w:val="left" w:pos="567"/>
              </w:tabs>
              <w:autoSpaceDE w:val="0"/>
              <w:autoSpaceDN w:val="0"/>
              <w:adjustRightInd w:val="0"/>
              <w:spacing w:after="60"/>
              <w:rPr>
                <w:rFonts w:eastAsia="Times New Roman"/>
                <w:b/>
                <w:sz w:val="16"/>
                <w:szCs w:val="16"/>
                <w:lang w:val="sr-Latn-CS" w:eastAsia="sr-Latn-CS"/>
              </w:rPr>
            </w:pPr>
            <w:r w:rsidRPr="00F25B3D">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914094" w:rsidRPr="00F25B3D" w:rsidRDefault="00914094" w:rsidP="002B42F1">
            <w:pPr>
              <w:widowControl w:val="0"/>
              <w:tabs>
                <w:tab w:val="left" w:pos="567"/>
              </w:tabs>
              <w:autoSpaceDE w:val="0"/>
              <w:autoSpaceDN w:val="0"/>
              <w:adjustRightInd w:val="0"/>
              <w:spacing w:after="60"/>
              <w:rPr>
                <w:rFonts w:eastAsia="Times New Roman"/>
                <w:b/>
                <w:sz w:val="16"/>
                <w:szCs w:val="16"/>
                <w:lang w:val="sr-Cyrl-CS" w:eastAsia="sr-Latn-CS"/>
              </w:rPr>
            </w:pPr>
            <w:r w:rsidRPr="00F25B3D">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widowControl w:val="0"/>
              <w:numPr>
                <w:ilvl w:val="0"/>
                <w:numId w:val="6"/>
              </w:numPr>
              <w:suppressAutoHyphens/>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(2018) Security analysis of the pseudo-random bit generator based on multi-modal maps, Nonlinear Dynamics, 91(1), 505-513.</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Lazović B., Djenić A., Marić M. (2018) A novel metaheuristic approach for collaborative learning group formation, Journal of Computer Assisted Learning, htpps://doi.org/10.1111/jcal.12299</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 xml:space="preserve">Ahmad M., Alam M.Z., Ansari S., Lambić D., AlSharari H. (2018) Cryptanalysis of an image encryption algorithm based on PWLCM and inertial delayed neural network, Journal of Intelligent and Fuzzy Systems, 34(3), 1323-1332. </w:t>
            </w:r>
            <w:r w:rsidRPr="002351C4">
              <w:rPr>
                <w:sz w:val="20"/>
                <w:szCs w:val="20"/>
                <w:lang w:val="sr-Cyrl-CS"/>
              </w:rPr>
              <w:tab/>
            </w:r>
            <w:r w:rsidRPr="002351C4">
              <w:rPr>
                <w:sz w:val="20"/>
                <w:szCs w:val="20"/>
                <w:lang w:val="sr-Cyrl-CS"/>
              </w:rPr>
              <w:tab/>
            </w:r>
            <w:r w:rsidRPr="002351C4">
              <w:rPr>
                <w:sz w:val="20"/>
                <w:szCs w:val="20"/>
                <w:lang w:val="sr-Cyrl-CS"/>
              </w:rPr>
              <w:tab/>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rPr>
            </w:pPr>
            <w:r>
              <w:rPr>
                <w:rFonts w:eastAsia="Times New Roman"/>
                <w:sz w:val="22"/>
                <w:szCs w:val="22"/>
              </w:rPr>
              <w:t>M22</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(2016) Correlation between Facebook use for educational purposes and academic performance of students, Computers in Human Behavior, 61, 313-320.</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(2015) A new discrete chaotic map based on the composition of permutations, Chaos, Solitons &amp; Fractals, 78, 245-248.</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(2015) Security analysis and improvement of a block cipher with dynamic S-boxes based on tent map, Nonlinear Dynamics, 79(4), 2531-2539.</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(2014) A novel method of S-box design based on chaotic map and composition method, Chaos, Solitons &amp; Fractals, 58, 16-21.</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widowControl w:val="0"/>
              <w:numPr>
                <w:ilvl w:val="0"/>
                <w:numId w:val="6"/>
              </w:numPr>
              <w:suppressAutoHyphens/>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Živković M., (2013) Comparison of random S-box generation methods. Publications de l’institut Mathematique, 93(107), 109-115.</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(2014)  Factors influencing future teachers' adoption of educational software use in classroom, Croatian Journal of Education 16(3), 815-846.</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Pećanac R., Lambić D., Marić M. (2011) The influence of the use of educational software on the effectiveness of  communication models in teaching. The New Educational Review, 26(4), 60-70.</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230745">
        <w:tc>
          <w:tcPr>
            <w:tcW w:w="540" w:type="dxa"/>
            <w:tcBorders>
              <w:top w:val="single" w:sz="2" w:space="0" w:color="000000"/>
              <w:left w:val="single" w:sz="2" w:space="0" w:color="000000"/>
              <w:bottom w:val="single" w:sz="2" w:space="0" w:color="000000"/>
              <w:right w:val="single" w:sz="2" w:space="0" w:color="000000"/>
            </w:tcBorders>
          </w:tcPr>
          <w:p w:rsidR="00914094" w:rsidRDefault="00914094" w:rsidP="000538EE">
            <w:pPr>
              <w:numPr>
                <w:ilvl w:val="0"/>
                <w:numId w:val="6"/>
              </w:numPr>
              <w:tabs>
                <w:tab w:val="left" w:pos="720"/>
              </w:tabs>
              <w:suppressAutoHyphens/>
              <w:snapToGrid w:val="0"/>
              <w:rPr>
                <w:rFonts w:eastAsia="Lucida Sans Unicode"/>
                <w:kern w:val="2"/>
                <w:sz w:val="22"/>
                <w:szCs w:val="22"/>
                <w:lang w:val="sr-Cyrl-RS"/>
              </w:rPr>
            </w:pPr>
          </w:p>
        </w:tc>
        <w:tc>
          <w:tcPr>
            <w:tcW w:w="8550" w:type="dxa"/>
            <w:gridSpan w:val="10"/>
            <w:tcBorders>
              <w:top w:val="single" w:sz="2" w:space="0" w:color="000000"/>
              <w:left w:val="single" w:sz="2" w:space="0" w:color="000000"/>
              <w:bottom w:val="single" w:sz="2" w:space="0" w:color="000000"/>
              <w:right w:val="single" w:sz="2" w:space="0" w:color="000000"/>
            </w:tcBorders>
            <w:vAlign w:val="center"/>
            <w:hideMark/>
          </w:tcPr>
          <w:p w:rsidR="00914094" w:rsidRPr="002351C4" w:rsidRDefault="00914094">
            <w:pPr>
              <w:widowControl w:val="0"/>
              <w:tabs>
                <w:tab w:val="left" w:pos="567"/>
              </w:tabs>
              <w:suppressAutoHyphens/>
              <w:spacing w:after="60"/>
              <w:rPr>
                <w:rFonts w:eastAsia="Lucida Sans Unicode"/>
                <w:kern w:val="2"/>
                <w:sz w:val="20"/>
                <w:szCs w:val="20"/>
                <w:lang w:val="sr-Cyrl-CS"/>
              </w:rPr>
            </w:pPr>
            <w:r w:rsidRPr="002351C4">
              <w:rPr>
                <w:sz w:val="20"/>
                <w:szCs w:val="20"/>
                <w:lang w:val="sr-Cyrl-CS"/>
              </w:rPr>
              <w:t>Lambić D., Lipkovski A. (2012) Measuring the influence of students' attitudes on the process of acquiring knowledge in Mathematics. Croatian Journal of Education, 14(1), 187-205.</w:t>
            </w:r>
          </w:p>
        </w:tc>
        <w:tc>
          <w:tcPr>
            <w:tcW w:w="691" w:type="dxa"/>
            <w:tcBorders>
              <w:top w:val="single" w:sz="2" w:space="0" w:color="000000"/>
              <w:left w:val="single" w:sz="2" w:space="0" w:color="000000"/>
              <w:bottom w:val="single" w:sz="2" w:space="0" w:color="000000"/>
              <w:right w:val="single" w:sz="2" w:space="0" w:color="000000"/>
            </w:tcBorders>
            <w:vAlign w:val="center"/>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center"/>
              <w:rPr>
                <w:rFonts w:eastAsia="Times New Roman"/>
                <w:kern w:val="2"/>
                <w:sz w:val="22"/>
                <w:szCs w:val="22"/>
                <w:lang w:val="sr-Cyrl-RS"/>
              </w:rPr>
            </w:pPr>
            <w:r>
              <w:rPr>
                <w:rFonts w:eastAsia="Times New Roman"/>
                <w:sz w:val="22"/>
                <w:szCs w:val="22"/>
              </w:rPr>
              <w:t>М23</w:t>
            </w:r>
          </w:p>
        </w:tc>
      </w:tr>
      <w:tr w:rsidR="00914094" w:rsidTr="000538EE">
        <w:tc>
          <w:tcPr>
            <w:tcW w:w="9781" w:type="dxa"/>
            <w:gridSpan w:val="12"/>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b/>
                <w:bCs/>
                <w:kern w:val="2"/>
                <w:sz w:val="22"/>
                <w:szCs w:val="22"/>
                <w:lang w:val="sr-Cyrl-RS"/>
              </w:rPr>
            </w:pPr>
            <w:r>
              <w:rPr>
                <w:rFonts w:eastAsia="Times New Roman"/>
                <w:b/>
                <w:bCs/>
                <w:sz w:val="22"/>
                <w:szCs w:val="22"/>
                <w:lang w:val="sr-Cyrl-RS"/>
              </w:rPr>
              <w:t>Збирни подаци научне активност наставника</w:t>
            </w:r>
          </w:p>
        </w:tc>
      </w:tr>
      <w:tr w:rsidR="00914094" w:rsidTr="000538EE">
        <w:tc>
          <w:tcPr>
            <w:tcW w:w="4168" w:type="dxa"/>
            <w:gridSpan w:val="5"/>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Укупан број цитата, без аутоцитата</w:t>
            </w:r>
          </w:p>
        </w:tc>
        <w:tc>
          <w:tcPr>
            <w:tcW w:w="5613" w:type="dxa"/>
            <w:gridSpan w:val="7"/>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rPr>
            </w:pPr>
            <w:r>
              <w:rPr>
                <w:rFonts w:eastAsia="Times New Roman"/>
                <w:sz w:val="22"/>
                <w:szCs w:val="22"/>
              </w:rPr>
              <w:t>67</w:t>
            </w:r>
          </w:p>
        </w:tc>
      </w:tr>
      <w:tr w:rsidR="00914094" w:rsidTr="000538EE">
        <w:tc>
          <w:tcPr>
            <w:tcW w:w="4168" w:type="dxa"/>
            <w:gridSpan w:val="5"/>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Укупан број радова са SCI (или SSCI) листе</w:t>
            </w:r>
          </w:p>
        </w:tc>
        <w:tc>
          <w:tcPr>
            <w:tcW w:w="5613" w:type="dxa"/>
            <w:gridSpan w:val="7"/>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rPr>
            </w:pPr>
            <w:r>
              <w:rPr>
                <w:rFonts w:eastAsia="Times New Roman"/>
                <w:sz w:val="22"/>
                <w:szCs w:val="22"/>
              </w:rPr>
              <w:t>13</w:t>
            </w:r>
          </w:p>
        </w:tc>
      </w:tr>
      <w:tr w:rsidR="00914094" w:rsidTr="000538EE">
        <w:tc>
          <w:tcPr>
            <w:tcW w:w="4168" w:type="dxa"/>
            <w:gridSpan w:val="5"/>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Тренутно учешће на пројектима</w:t>
            </w:r>
          </w:p>
        </w:tc>
        <w:tc>
          <w:tcPr>
            <w:tcW w:w="1732" w:type="dxa"/>
            <w:gridSpan w:val="2"/>
            <w:tcBorders>
              <w:top w:val="single" w:sz="2" w:space="0" w:color="000000"/>
              <w:left w:val="single" w:sz="2" w:space="0" w:color="000000"/>
              <w:bottom w:val="single" w:sz="2" w:space="0" w:color="000000"/>
              <w:right w:val="single" w:sz="2" w:space="0" w:color="000000"/>
            </w:tcBorders>
            <w:hideMark/>
          </w:tcPr>
          <w:p w:rsidR="00914094" w:rsidRDefault="00914094" w:rsidP="00B85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rPr>
            </w:pPr>
            <w:r>
              <w:rPr>
                <w:rFonts w:eastAsia="Times New Roman"/>
                <w:sz w:val="22"/>
                <w:szCs w:val="22"/>
                <w:lang w:val="sr-Cyrl-RS"/>
              </w:rPr>
              <w:t>Домаћи</w:t>
            </w:r>
            <w:r w:rsidR="00B85A64">
              <w:rPr>
                <w:rFonts w:eastAsia="Times New Roman"/>
                <w:sz w:val="22"/>
                <w:szCs w:val="22"/>
                <w:lang w:val="sr-Cyrl-RS"/>
              </w:rPr>
              <w:t>:</w:t>
            </w:r>
            <w:r>
              <w:rPr>
                <w:rFonts w:eastAsia="Times New Roman"/>
                <w:sz w:val="22"/>
                <w:szCs w:val="22"/>
              </w:rPr>
              <w:t>1</w:t>
            </w:r>
          </w:p>
        </w:tc>
        <w:tc>
          <w:tcPr>
            <w:tcW w:w="3881" w:type="dxa"/>
            <w:gridSpan w:val="5"/>
            <w:tcBorders>
              <w:top w:val="single" w:sz="2" w:space="0" w:color="000000"/>
              <w:left w:val="single" w:sz="2" w:space="0" w:color="000000"/>
              <w:bottom w:val="single" w:sz="2" w:space="0" w:color="000000"/>
              <w:right w:val="single" w:sz="2" w:space="0" w:color="000000"/>
            </w:tcBorders>
            <w:hideMark/>
          </w:tcPr>
          <w:p w:rsidR="00914094" w:rsidRDefault="009140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rPr>
                <w:rFonts w:eastAsia="Times New Roman"/>
                <w:kern w:val="2"/>
                <w:sz w:val="22"/>
                <w:szCs w:val="22"/>
                <w:lang w:val="sr-Cyrl-RS"/>
              </w:rPr>
            </w:pPr>
            <w:r>
              <w:rPr>
                <w:rFonts w:eastAsia="Times New Roman"/>
                <w:sz w:val="22"/>
                <w:szCs w:val="22"/>
                <w:lang w:val="sr-Cyrl-RS"/>
              </w:rPr>
              <w:t>Међународни</w:t>
            </w:r>
            <w:r w:rsidR="00B85A64">
              <w:rPr>
                <w:rFonts w:eastAsia="Times New Roman"/>
                <w:sz w:val="22"/>
                <w:szCs w:val="22"/>
                <w:lang w:val="sr-Cyrl-RS"/>
              </w:rPr>
              <w:t>: -</w:t>
            </w:r>
          </w:p>
        </w:tc>
      </w:tr>
      <w:tr w:rsidR="009625A2" w:rsidTr="009625A2">
        <w:tc>
          <w:tcPr>
            <w:tcW w:w="9781" w:type="dxa"/>
            <w:gridSpan w:val="12"/>
            <w:tcBorders>
              <w:top w:val="single" w:sz="2" w:space="0" w:color="000000"/>
              <w:left w:val="single" w:sz="2" w:space="0" w:color="000000"/>
              <w:bottom w:val="single" w:sz="2" w:space="0" w:color="000000"/>
              <w:right w:val="single" w:sz="2" w:space="0" w:color="000000"/>
            </w:tcBorders>
            <w:vAlign w:val="center"/>
          </w:tcPr>
          <w:p w:rsidR="009625A2" w:rsidRDefault="009625A2" w:rsidP="009625A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jc w:val="right"/>
              <w:rPr>
                <w:rFonts w:eastAsia="Times New Roman"/>
                <w:sz w:val="22"/>
                <w:szCs w:val="22"/>
                <w:lang w:val="sr-Cyrl-RS"/>
              </w:rPr>
            </w:pP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0538EE" w:rsidRDefault="000538EE" w:rsidP="00E36EE2">
      <w:pPr>
        <w:rPr>
          <w:sz w:val="20"/>
          <w:szCs w:val="20"/>
          <w:lang w:val="sr-Cyrl-RS"/>
        </w:rPr>
      </w:pPr>
    </w:p>
    <w:p w:rsidR="000538EE" w:rsidRDefault="000538EE" w:rsidP="00E36EE2">
      <w:pPr>
        <w:rPr>
          <w:sz w:val="20"/>
          <w:szCs w:val="20"/>
          <w:lang w:val="sr-Cyrl-RS"/>
        </w:rPr>
      </w:pPr>
    </w:p>
    <w:p w:rsidR="00B85A64" w:rsidRDefault="00B85A64" w:rsidP="00E36EE2">
      <w:pPr>
        <w:rPr>
          <w:sz w:val="20"/>
          <w:szCs w:val="20"/>
          <w:lang w:val="sr-Cyrl-RS"/>
        </w:rPr>
      </w:pPr>
    </w:p>
    <w:p w:rsidR="00B85A64" w:rsidRDefault="00B85A64" w:rsidP="00E36EE2">
      <w:pPr>
        <w:rPr>
          <w:sz w:val="20"/>
          <w:szCs w:val="20"/>
          <w:lang w:val="sr-Cyrl-RS"/>
        </w:rPr>
      </w:pPr>
    </w:p>
    <w:p w:rsidR="00B85A64" w:rsidRDefault="00B85A64" w:rsidP="00E36EE2">
      <w:pPr>
        <w:rPr>
          <w:sz w:val="20"/>
          <w:szCs w:val="20"/>
          <w:lang w:val="sr-Cyrl-R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
        <w:gridCol w:w="1440"/>
        <w:gridCol w:w="900"/>
        <w:gridCol w:w="2147"/>
        <w:gridCol w:w="103"/>
        <w:gridCol w:w="1530"/>
        <w:gridCol w:w="180"/>
        <w:gridCol w:w="591"/>
        <w:gridCol w:w="759"/>
        <w:gridCol w:w="900"/>
        <w:gridCol w:w="630"/>
      </w:tblGrid>
      <w:tr w:rsidR="00DB3F7A" w:rsidRPr="00DB3F7A" w:rsidTr="00B85A64">
        <w:trPr>
          <w:trHeight w:val="227"/>
        </w:trPr>
        <w:tc>
          <w:tcPr>
            <w:tcW w:w="2970" w:type="dxa"/>
            <w:gridSpan w:val="4"/>
            <w:vAlign w:val="center"/>
          </w:tcPr>
          <w:p w:rsidR="00DB3F7A" w:rsidRPr="00DB3F7A" w:rsidRDefault="00DB3F7A"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b/>
                <w:sz w:val="20"/>
                <w:szCs w:val="20"/>
                <w:lang w:val="sr-Cyrl-CS" w:eastAsia="sr-Latn-CS"/>
              </w:rPr>
              <w:t>Име и презиме</w:t>
            </w:r>
          </w:p>
        </w:tc>
        <w:tc>
          <w:tcPr>
            <w:tcW w:w="6840" w:type="dxa"/>
            <w:gridSpan w:val="8"/>
            <w:vAlign w:val="center"/>
          </w:tcPr>
          <w:p w:rsidR="00DB3F7A" w:rsidRPr="00DB3F7A" w:rsidRDefault="009625A2" w:rsidP="009625A2">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 xml:space="preserve">Станко </w:t>
            </w:r>
            <w:bookmarkStart w:id="6" w:name="Цвјетићанин"/>
            <w:r w:rsidR="00DB3F7A" w:rsidRPr="00DB3F7A">
              <w:rPr>
                <w:rFonts w:eastAsia="Times New Roman"/>
                <w:sz w:val="20"/>
                <w:szCs w:val="20"/>
                <w:lang w:val="sr-Cyrl-CS" w:eastAsia="sr-Latn-CS"/>
              </w:rPr>
              <w:t>Цвјетићанин</w:t>
            </w:r>
            <w:bookmarkEnd w:id="6"/>
          </w:p>
        </w:tc>
      </w:tr>
      <w:tr w:rsidR="00DB3F7A" w:rsidRPr="00DB3F7A" w:rsidTr="00B85A64">
        <w:trPr>
          <w:trHeight w:val="227"/>
        </w:trPr>
        <w:tc>
          <w:tcPr>
            <w:tcW w:w="2970" w:type="dxa"/>
            <w:gridSpan w:val="4"/>
            <w:vAlign w:val="center"/>
          </w:tcPr>
          <w:p w:rsidR="00DB3F7A" w:rsidRPr="00DB3F7A" w:rsidRDefault="00DB3F7A"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b/>
                <w:sz w:val="20"/>
                <w:szCs w:val="20"/>
                <w:lang w:val="sr-Cyrl-CS" w:eastAsia="sr-Latn-CS"/>
              </w:rPr>
              <w:t>Звање</w:t>
            </w:r>
          </w:p>
        </w:tc>
        <w:tc>
          <w:tcPr>
            <w:tcW w:w="6840" w:type="dxa"/>
            <w:gridSpan w:val="8"/>
            <w:vAlign w:val="center"/>
          </w:tcPr>
          <w:p w:rsidR="00DB3F7A" w:rsidRPr="00DB3F7A" w:rsidRDefault="00DB3F7A"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Редовни професор</w:t>
            </w:r>
          </w:p>
        </w:tc>
      </w:tr>
      <w:tr w:rsidR="00DB3F7A" w:rsidRPr="00DB3F7A" w:rsidTr="00B85A64">
        <w:trPr>
          <w:trHeight w:val="227"/>
        </w:trPr>
        <w:tc>
          <w:tcPr>
            <w:tcW w:w="2970" w:type="dxa"/>
            <w:gridSpan w:val="4"/>
            <w:vAlign w:val="center"/>
          </w:tcPr>
          <w:p w:rsidR="00DB3F7A" w:rsidRPr="00DB3F7A" w:rsidRDefault="00DB3F7A"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b/>
                <w:sz w:val="20"/>
                <w:szCs w:val="20"/>
                <w:lang w:val="sr-Cyrl-CS" w:eastAsia="sr-Latn-CS"/>
              </w:rPr>
              <w:t>Ужа научна област</w:t>
            </w:r>
          </w:p>
        </w:tc>
        <w:tc>
          <w:tcPr>
            <w:tcW w:w="6840" w:type="dxa"/>
            <w:gridSpan w:val="8"/>
            <w:vAlign w:val="center"/>
          </w:tcPr>
          <w:p w:rsidR="00DB3F7A" w:rsidRPr="00DB3F7A" w:rsidRDefault="00DB3F7A"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RS" w:eastAsia="sr-Latn-CS"/>
              </w:rPr>
              <w:t>Методика наставе познавања природе</w:t>
            </w:r>
          </w:p>
        </w:tc>
      </w:tr>
      <w:tr w:rsidR="00914094" w:rsidRPr="00DB3F7A" w:rsidTr="00B85A64">
        <w:trPr>
          <w:trHeight w:val="227"/>
        </w:trPr>
        <w:tc>
          <w:tcPr>
            <w:tcW w:w="2070" w:type="dxa"/>
            <w:gridSpan w:val="3"/>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b/>
                <w:sz w:val="20"/>
                <w:szCs w:val="20"/>
                <w:lang w:val="sr-Cyrl-CS" w:eastAsia="sr-Latn-CS"/>
              </w:rPr>
              <w:t>Академска каријера</w:t>
            </w:r>
          </w:p>
        </w:tc>
        <w:tc>
          <w:tcPr>
            <w:tcW w:w="900" w:type="dxa"/>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 xml:space="preserve">Година </w:t>
            </w:r>
          </w:p>
        </w:tc>
        <w:tc>
          <w:tcPr>
            <w:tcW w:w="3780" w:type="dxa"/>
            <w:gridSpan w:val="3"/>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 xml:space="preserve">Институција </w:t>
            </w:r>
          </w:p>
        </w:tc>
        <w:tc>
          <w:tcPr>
            <w:tcW w:w="3060" w:type="dxa"/>
            <w:gridSpan w:val="5"/>
            <w:vAlign w:val="center"/>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914094" w:rsidRPr="00DB3F7A" w:rsidTr="00B85A64">
        <w:trPr>
          <w:trHeight w:val="227"/>
        </w:trPr>
        <w:tc>
          <w:tcPr>
            <w:tcW w:w="2070" w:type="dxa"/>
            <w:gridSpan w:val="3"/>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Избор у звање</w:t>
            </w:r>
          </w:p>
        </w:tc>
        <w:tc>
          <w:tcPr>
            <w:tcW w:w="900" w:type="dxa"/>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RS" w:eastAsia="sr-Latn-CS"/>
              </w:rPr>
            </w:pPr>
            <w:r w:rsidRPr="00DB3F7A">
              <w:rPr>
                <w:rFonts w:eastAsia="Times New Roman"/>
                <w:sz w:val="20"/>
                <w:szCs w:val="20"/>
                <w:lang w:val="sr-Latn-RS" w:eastAsia="sr-Latn-CS"/>
              </w:rPr>
              <w:t>201</w:t>
            </w:r>
            <w:r w:rsidRPr="00DB3F7A">
              <w:rPr>
                <w:rFonts w:eastAsia="Times New Roman"/>
                <w:sz w:val="20"/>
                <w:szCs w:val="20"/>
                <w:lang w:val="sr-Cyrl-RS" w:eastAsia="sr-Latn-CS"/>
              </w:rPr>
              <w:t>5</w:t>
            </w:r>
            <w:r w:rsidR="00F25B3D">
              <w:rPr>
                <w:rFonts w:eastAsia="Times New Roman"/>
                <w:sz w:val="20"/>
                <w:szCs w:val="20"/>
                <w:lang w:val="sr-Cyrl-RS" w:eastAsia="sr-Latn-CS"/>
              </w:rPr>
              <w:t>.</w:t>
            </w:r>
          </w:p>
        </w:tc>
        <w:tc>
          <w:tcPr>
            <w:tcW w:w="3780" w:type="dxa"/>
            <w:gridSpan w:val="3"/>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Педагошки факултет у Сомбору</w:t>
            </w:r>
            <w:r w:rsidR="00F25B3D">
              <w:rPr>
                <w:rFonts w:eastAsia="Times New Roman"/>
                <w:sz w:val="20"/>
                <w:szCs w:val="20"/>
                <w:lang w:val="sr-Cyrl-CS" w:eastAsia="sr-Latn-CS"/>
              </w:rPr>
              <w:t>, УНС</w:t>
            </w:r>
          </w:p>
        </w:tc>
        <w:tc>
          <w:tcPr>
            <w:tcW w:w="3060" w:type="dxa"/>
            <w:gridSpan w:val="5"/>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RS" w:eastAsia="sr-Latn-CS"/>
              </w:rPr>
            </w:pPr>
            <w:r w:rsidRPr="00DB3F7A">
              <w:rPr>
                <w:rFonts w:eastAsia="Times New Roman"/>
                <w:sz w:val="20"/>
                <w:szCs w:val="20"/>
                <w:lang w:val="sr-Cyrl-RS" w:eastAsia="sr-Latn-CS"/>
              </w:rPr>
              <w:t>Методика наставе познавања природе</w:t>
            </w:r>
          </w:p>
        </w:tc>
      </w:tr>
      <w:tr w:rsidR="00914094" w:rsidRPr="00DB3F7A" w:rsidTr="00B85A64">
        <w:trPr>
          <w:trHeight w:val="312"/>
        </w:trPr>
        <w:tc>
          <w:tcPr>
            <w:tcW w:w="2070" w:type="dxa"/>
            <w:gridSpan w:val="3"/>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Докторат</w:t>
            </w:r>
          </w:p>
        </w:tc>
        <w:tc>
          <w:tcPr>
            <w:tcW w:w="900" w:type="dxa"/>
            <w:vAlign w:val="center"/>
          </w:tcPr>
          <w:p w:rsidR="00914094" w:rsidRPr="00F25B3D" w:rsidRDefault="00914094" w:rsidP="00DB3F7A">
            <w:pPr>
              <w:widowControl w:val="0"/>
              <w:tabs>
                <w:tab w:val="left" w:pos="567"/>
              </w:tabs>
              <w:autoSpaceDE w:val="0"/>
              <w:autoSpaceDN w:val="0"/>
              <w:adjustRightInd w:val="0"/>
              <w:rPr>
                <w:rFonts w:eastAsia="Times New Roman"/>
                <w:sz w:val="20"/>
                <w:szCs w:val="20"/>
                <w:lang w:val="sr-Cyrl-RS" w:eastAsia="sr-Latn-CS"/>
              </w:rPr>
            </w:pPr>
            <w:r w:rsidRPr="00DB3F7A">
              <w:rPr>
                <w:rFonts w:eastAsia="Times New Roman"/>
                <w:sz w:val="20"/>
                <w:szCs w:val="20"/>
                <w:lang w:val="sr-Cyrl-CS" w:eastAsia="sr-Latn-CS"/>
              </w:rPr>
              <w:t>200</w:t>
            </w:r>
            <w:r w:rsidRPr="00DB3F7A">
              <w:rPr>
                <w:rFonts w:eastAsia="Times New Roman"/>
                <w:sz w:val="20"/>
                <w:szCs w:val="20"/>
                <w:lang w:val="sr-Latn-RS" w:eastAsia="sr-Latn-CS"/>
              </w:rPr>
              <w:t>5</w:t>
            </w:r>
            <w:r w:rsidR="00F25B3D">
              <w:rPr>
                <w:rFonts w:eastAsia="Times New Roman"/>
                <w:sz w:val="20"/>
                <w:szCs w:val="20"/>
                <w:lang w:val="sr-Cyrl-RS" w:eastAsia="sr-Latn-CS"/>
              </w:rPr>
              <w:t>.</w:t>
            </w:r>
          </w:p>
        </w:tc>
        <w:tc>
          <w:tcPr>
            <w:tcW w:w="3780" w:type="dxa"/>
            <w:gridSpan w:val="3"/>
            <w:vAlign w:val="center"/>
          </w:tcPr>
          <w:p w:rsidR="00914094" w:rsidRPr="00DB3F7A" w:rsidRDefault="00914094" w:rsidP="00F25B3D">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Природно-математички фа</w:t>
            </w:r>
            <w:r w:rsidR="00F25B3D">
              <w:rPr>
                <w:rFonts w:eastAsia="Times New Roman"/>
                <w:sz w:val="20"/>
                <w:szCs w:val="20"/>
                <w:lang w:val="sr-Cyrl-CS" w:eastAsia="sr-Latn-CS"/>
              </w:rPr>
              <w:t>к</w:t>
            </w:r>
            <w:r w:rsidRPr="00DB3F7A">
              <w:rPr>
                <w:rFonts w:eastAsia="Times New Roman"/>
                <w:sz w:val="20"/>
                <w:szCs w:val="20"/>
                <w:lang w:val="sr-Cyrl-CS" w:eastAsia="sr-Latn-CS"/>
              </w:rPr>
              <w:t>ултет</w:t>
            </w:r>
            <w:r w:rsidR="00F25B3D">
              <w:rPr>
                <w:rFonts w:eastAsia="Times New Roman"/>
                <w:sz w:val="20"/>
                <w:szCs w:val="20"/>
                <w:lang w:val="sr-Cyrl-CS" w:eastAsia="sr-Latn-CS"/>
              </w:rPr>
              <w:t>, УНС</w:t>
            </w:r>
          </w:p>
        </w:tc>
        <w:tc>
          <w:tcPr>
            <w:tcW w:w="3060" w:type="dxa"/>
            <w:gridSpan w:val="5"/>
            <w:vAlign w:val="center"/>
          </w:tcPr>
          <w:p w:rsidR="00914094" w:rsidRPr="00DB3F7A" w:rsidRDefault="0091409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Методика наставе природних наука-хемија</w:t>
            </w:r>
          </w:p>
        </w:tc>
      </w:tr>
      <w:tr w:rsidR="002351C4" w:rsidRPr="00DB3F7A" w:rsidTr="00B85A64">
        <w:trPr>
          <w:trHeight w:val="312"/>
        </w:trPr>
        <w:tc>
          <w:tcPr>
            <w:tcW w:w="2070" w:type="dxa"/>
            <w:gridSpan w:val="3"/>
            <w:vAlign w:val="center"/>
          </w:tcPr>
          <w:p w:rsidR="002351C4" w:rsidRPr="00176327" w:rsidRDefault="002351C4" w:rsidP="00365FD3">
            <w:pPr>
              <w:widowControl w:val="0"/>
              <w:tabs>
                <w:tab w:val="left" w:pos="567"/>
              </w:tabs>
              <w:autoSpaceDE w:val="0"/>
              <w:autoSpaceDN w:val="0"/>
              <w:adjustRightInd w:val="0"/>
              <w:rPr>
                <w:rFonts w:eastAsia="Times New Roman"/>
                <w:sz w:val="20"/>
                <w:szCs w:val="20"/>
                <w:lang w:val="sr-Cyrl-CS" w:eastAsia="sr-Latn-CS"/>
              </w:rPr>
            </w:pPr>
            <w:r>
              <w:rPr>
                <w:rFonts w:eastAsia="Times New Roman"/>
                <w:sz w:val="20"/>
                <w:szCs w:val="20"/>
                <w:lang w:val="sr-Cyrl-CS" w:eastAsia="sr-Latn-CS"/>
              </w:rPr>
              <w:t>Магистратура</w:t>
            </w:r>
          </w:p>
        </w:tc>
        <w:tc>
          <w:tcPr>
            <w:tcW w:w="900" w:type="dxa"/>
            <w:vAlign w:val="center"/>
          </w:tcPr>
          <w:p w:rsidR="002351C4" w:rsidRPr="00176327" w:rsidRDefault="002351C4" w:rsidP="00365FD3">
            <w:pPr>
              <w:widowControl w:val="0"/>
              <w:tabs>
                <w:tab w:val="left" w:pos="567"/>
              </w:tabs>
              <w:autoSpaceDE w:val="0"/>
              <w:autoSpaceDN w:val="0"/>
              <w:adjustRightInd w:val="0"/>
              <w:rPr>
                <w:rFonts w:eastAsia="Times New Roman"/>
                <w:sz w:val="20"/>
                <w:szCs w:val="20"/>
                <w:lang w:val="sr-Cyrl-CS" w:eastAsia="sr-Latn-CS"/>
              </w:rPr>
            </w:pPr>
            <w:r>
              <w:rPr>
                <w:rFonts w:eastAsia="Times New Roman"/>
                <w:sz w:val="20"/>
                <w:szCs w:val="20"/>
                <w:lang w:val="sr-Cyrl-CS" w:eastAsia="sr-Latn-CS"/>
              </w:rPr>
              <w:t>1999.</w:t>
            </w:r>
          </w:p>
        </w:tc>
        <w:tc>
          <w:tcPr>
            <w:tcW w:w="3780" w:type="dxa"/>
            <w:gridSpan w:val="3"/>
            <w:vAlign w:val="center"/>
          </w:tcPr>
          <w:p w:rsidR="002351C4" w:rsidRPr="00176327" w:rsidRDefault="002351C4" w:rsidP="00365FD3">
            <w:pPr>
              <w:widowControl w:val="0"/>
              <w:tabs>
                <w:tab w:val="left" w:pos="567"/>
              </w:tabs>
              <w:autoSpaceDE w:val="0"/>
              <w:autoSpaceDN w:val="0"/>
              <w:adjustRightInd w:val="0"/>
              <w:rPr>
                <w:rFonts w:eastAsia="Times New Roman"/>
                <w:sz w:val="20"/>
                <w:szCs w:val="20"/>
                <w:lang w:val="sr-Cyrl-CS" w:eastAsia="sr-Latn-CS"/>
              </w:rPr>
            </w:pPr>
            <w:r w:rsidRPr="00176327">
              <w:rPr>
                <w:rFonts w:eastAsia="Times New Roman"/>
                <w:sz w:val="20"/>
                <w:szCs w:val="20"/>
                <w:lang w:val="sr-Cyrl-CS" w:eastAsia="sr-Latn-CS"/>
              </w:rPr>
              <w:t>Природно-математички фалултет</w:t>
            </w:r>
            <w:r>
              <w:rPr>
                <w:rFonts w:eastAsia="Times New Roman"/>
                <w:sz w:val="20"/>
                <w:szCs w:val="20"/>
                <w:lang w:val="sr-Cyrl-CS" w:eastAsia="sr-Latn-CS"/>
              </w:rPr>
              <w:t>, УНС</w:t>
            </w:r>
          </w:p>
        </w:tc>
        <w:tc>
          <w:tcPr>
            <w:tcW w:w="3060" w:type="dxa"/>
            <w:gridSpan w:val="5"/>
            <w:vAlign w:val="center"/>
          </w:tcPr>
          <w:p w:rsidR="002351C4" w:rsidRPr="00176327" w:rsidRDefault="002351C4" w:rsidP="00365FD3">
            <w:pPr>
              <w:widowControl w:val="0"/>
              <w:tabs>
                <w:tab w:val="left" w:pos="567"/>
              </w:tabs>
              <w:autoSpaceDE w:val="0"/>
              <w:autoSpaceDN w:val="0"/>
              <w:adjustRightInd w:val="0"/>
              <w:rPr>
                <w:rFonts w:eastAsia="Times New Roman"/>
                <w:sz w:val="20"/>
                <w:szCs w:val="20"/>
                <w:lang w:val="sr-Cyrl-CS" w:eastAsia="sr-Latn-CS"/>
              </w:rPr>
            </w:pPr>
            <w:r>
              <w:rPr>
                <w:rFonts w:eastAsia="Times New Roman"/>
                <w:sz w:val="20"/>
                <w:szCs w:val="20"/>
                <w:lang w:val="sr-Cyrl-CS" w:eastAsia="sr-Latn-CS"/>
              </w:rPr>
              <w:t>Хемијске науке</w:t>
            </w:r>
          </w:p>
        </w:tc>
      </w:tr>
      <w:tr w:rsidR="002351C4" w:rsidRPr="00DB3F7A" w:rsidTr="00B85A64">
        <w:trPr>
          <w:trHeight w:val="227"/>
        </w:trPr>
        <w:tc>
          <w:tcPr>
            <w:tcW w:w="2070" w:type="dxa"/>
            <w:gridSpan w:val="3"/>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Диплома</w:t>
            </w:r>
          </w:p>
        </w:tc>
        <w:tc>
          <w:tcPr>
            <w:tcW w:w="90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1995</w:t>
            </w:r>
            <w:r>
              <w:rPr>
                <w:rFonts w:eastAsia="Times New Roman"/>
                <w:sz w:val="20"/>
                <w:szCs w:val="20"/>
                <w:lang w:val="sr-Cyrl-CS" w:eastAsia="sr-Latn-CS"/>
              </w:rPr>
              <w:t>.</w:t>
            </w:r>
          </w:p>
        </w:tc>
        <w:tc>
          <w:tcPr>
            <w:tcW w:w="3780" w:type="dxa"/>
            <w:gridSpan w:val="3"/>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Pr>
                <w:rFonts w:eastAsia="Times New Roman"/>
                <w:sz w:val="20"/>
                <w:szCs w:val="20"/>
                <w:lang w:val="sr-Cyrl-CS" w:eastAsia="sr-Latn-CS"/>
              </w:rPr>
              <w:t>Природно-математички фак</w:t>
            </w:r>
            <w:r w:rsidRPr="00DB3F7A">
              <w:rPr>
                <w:rFonts w:eastAsia="Times New Roman"/>
                <w:sz w:val="20"/>
                <w:szCs w:val="20"/>
                <w:lang w:val="sr-Cyrl-CS" w:eastAsia="sr-Latn-CS"/>
              </w:rPr>
              <w:t>ултет</w:t>
            </w:r>
            <w:r>
              <w:rPr>
                <w:rFonts w:eastAsia="Times New Roman"/>
                <w:sz w:val="20"/>
                <w:szCs w:val="20"/>
                <w:lang w:val="sr-Cyrl-CS" w:eastAsia="sr-Latn-CS"/>
              </w:rPr>
              <w:t>, УНС</w:t>
            </w:r>
          </w:p>
        </w:tc>
        <w:tc>
          <w:tcPr>
            <w:tcW w:w="3060" w:type="dxa"/>
            <w:gridSpan w:val="5"/>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Методика наставе хемије</w:t>
            </w:r>
          </w:p>
        </w:tc>
      </w:tr>
      <w:tr w:rsidR="002351C4" w:rsidRPr="00DB3F7A" w:rsidTr="00B85A64">
        <w:trPr>
          <w:trHeight w:val="227"/>
        </w:trPr>
        <w:tc>
          <w:tcPr>
            <w:tcW w:w="9810" w:type="dxa"/>
            <w:gridSpan w:val="12"/>
            <w:vAlign w:val="center"/>
          </w:tcPr>
          <w:p w:rsidR="002351C4" w:rsidRPr="004B0977" w:rsidRDefault="002351C4"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2351C4" w:rsidRPr="00DB3F7A" w:rsidTr="00B85A64">
        <w:trPr>
          <w:trHeight w:val="227"/>
        </w:trPr>
        <w:tc>
          <w:tcPr>
            <w:tcW w:w="63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Р.Б.</w:t>
            </w:r>
          </w:p>
        </w:tc>
        <w:tc>
          <w:tcPr>
            <w:tcW w:w="4590" w:type="dxa"/>
            <w:gridSpan w:val="4"/>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Наслов дисертације</w:t>
            </w:r>
          </w:p>
        </w:tc>
        <w:tc>
          <w:tcPr>
            <w:tcW w:w="171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Име кандидата</w:t>
            </w:r>
          </w:p>
        </w:tc>
        <w:tc>
          <w:tcPr>
            <w:tcW w:w="135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 xml:space="preserve">*пријављена </w:t>
            </w:r>
          </w:p>
        </w:tc>
        <w:tc>
          <w:tcPr>
            <w:tcW w:w="153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 одбрањена</w:t>
            </w:r>
          </w:p>
        </w:tc>
      </w:tr>
      <w:tr w:rsidR="002351C4" w:rsidRPr="00DB3F7A" w:rsidTr="00B85A64">
        <w:trPr>
          <w:trHeight w:val="227"/>
        </w:trPr>
        <w:tc>
          <w:tcPr>
            <w:tcW w:w="63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1.</w:t>
            </w:r>
          </w:p>
        </w:tc>
        <w:tc>
          <w:tcPr>
            <w:tcW w:w="4590" w:type="dxa"/>
            <w:gridSpan w:val="4"/>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Евалуација интегрисане едукације деце узраста од 7 до 10 година о исхрани и  физичкој активности</w:t>
            </w:r>
          </w:p>
        </w:tc>
        <w:tc>
          <w:tcPr>
            <w:tcW w:w="171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Сања Шумоња</w:t>
            </w:r>
          </w:p>
        </w:tc>
        <w:tc>
          <w:tcPr>
            <w:tcW w:w="135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p>
        </w:tc>
        <w:tc>
          <w:tcPr>
            <w:tcW w:w="153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r w:rsidRPr="00DB3F7A">
              <w:rPr>
                <w:rFonts w:eastAsia="Times New Roman"/>
                <w:sz w:val="20"/>
                <w:szCs w:val="20"/>
                <w:lang w:val="sr-Cyrl-CS" w:eastAsia="sr-Latn-CS"/>
              </w:rPr>
              <w:t>2016.</w:t>
            </w:r>
          </w:p>
        </w:tc>
      </w:tr>
      <w:tr w:rsidR="002351C4" w:rsidRPr="00DB3F7A" w:rsidTr="00B85A64">
        <w:trPr>
          <w:trHeight w:val="227"/>
        </w:trPr>
        <w:tc>
          <w:tcPr>
            <w:tcW w:w="63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2.</w:t>
            </w:r>
          </w:p>
        </w:tc>
        <w:tc>
          <w:tcPr>
            <w:tcW w:w="4590" w:type="dxa"/>
            <w:gridSpan w:val="4"/>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Утицај етничке припадности учитеља на реализацију друштвених садржаја у настави природе и друштва</w:t>
            </w:r>
          </w:p>
        </w:tc>
        <w:tc>
          <w:tcPr>
            <w:tcW w:w="171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Ђорђе Цвијановић</w:t>
            </w:r>
          </w:p>
        </w:tc>
        <w:tc>
          <w:tcPr>
            <w:tcW w:w="135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p>
        </w:tc>
        <w:tc>
          <w:tcPr>
            <w:tcW w:w="153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r w:rsidRPr="00DB3F7A">
              <w:rPr>
                <w:rFonts w:eastAsia="Times New Roman"/>
                <w:sz w:val="20"/>
                <w:szCs w:val="20"/>
                <w:lang w:val="sr-Cyrl-CS" w:eastAsia="sr-Latn-CS"/>
              </w:rPr>
              <w:t>2018.</w:t>
            </w:r>
          </w:p>
        </w:tc>
      </w:tr>
      <w:tr w:rsidR="002351C4" w:rsidRPr="00DB3F7A" w:rsidTr="00B85A64">
        <w:trPr>
          <w:trHeight w:val="227"/>
        </w:trPr>
        <w:tc>
          <w:tcPr>
            <w:tcW w:w="63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3.</w:t>
            </w:r>
          </w:p>
        </w:tc>
        <w:tc>
          <w:tcPr>
            <w:tcW w:w="4590" w:type="dxa"/>
            <w:gridSpan w:val="4"/>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Допринос мултимодалне стратегије на квалитет, трајност знања и вештина ученика медицинске струке о превенцији болничких инфекција</w:t>
            </w:r>
          </w:p>
        </w:tc>
        <w:tc>
          <w:tcPr>
            <w:tcW w:w="171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Ерика Нађ</w:t>
            </w:r>
          </w:p>
        </w:tc>
        <w:tc>
          <w:tcPr>
            <w:tcW w:w="135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r w:rsidRPr="00DB3F7A">
              <w:rPr>
                <w:rFonts w:eastAsia="Times New Roman"/>
                <w:sz w:val="20"/>
                <w:szCs w:val="20"/>
                <w:lang w:val="sr-Cyrl-CS" w:eastAsia="sr-Latn-CS"/>
              </w:rPr>
              <w:t>2018.</w:t>
            </w:r>
          </w:p>
        </w:tc>
        <w:tc>
          <w:tcPr>
            <w:tcW w:w="153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p>
        </w:tc>
      </w:tr>
      <w:tr w:rsidR="002351C4" w:rsidRPr="00DB3F7A" w:rsidTr="00B85A64">
        <w:trPr>
          <w:trHeight w:val="227"/>
        </w:trPr>
        <w:tc>
          <w:tcPr>
            <w:tcW w:w="63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4.</w:t>
            </w:r>
          </w:p>
        </w:tc>
        <w:tc>
          <w:tcPr>
            <w:tcW w:w="4590" w:type="dxa"/>
            <w:gridSpan w:val="4"/>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Допринос примене лабораторијско-експерименталне методе квалитету знања ученика разредне наставе о природним појавама и процесима</w:t>
            </w:r>
          </w:p>
        </w:tc>
        <w:tc>
          <w:tcPr>
            <w:tcW w:w="1710" w:type="dxa"/>
            <w:gridSpan w:val="2"/>
            <w:vAlign w:val="center"/>
          </w:tcPr>
          <w:p w:rsidR="002351C4" w:rsidRPr="00DB3F7A" w:rsidRDefault="002351C4" w:rsidP="00DB3F7A">
            <w:pPr>
              <w:widowControl w:val="0"/>
              <w:tabs>
                <w:tab w:val="left" w:pos="567"/>
              </w:tabs>
              <w:autoSpaceDE w:val="0"/>
              <w:autoSpaceDN w:val="0"/>
              <w:adjustRightInd w:val="0"/>
              <w:spacing w:after="60"/>
              <w:rPr>
                <w:rFonts w:eastAsia="Times New Roman"/>
                <w:sz w:val="20"/>
                <w:szCs w:val="20"/>
                <w:lang w:val="sr-Cyrl-CS" w:eastAsia="sr-Latn-CS"/>
              </w:rPr>
            </w:pPr>
            <w:r w:rsidRPr="00DB3F7A">
              <w:rPr>
                <w:rFonts w:eastAsia="Times New Roman"/>
                <w:sz w:val="20"/>
                <w:szCs w:val="20"/>
                <w:lang w:val="sr-Cyrl-CS" w:eastAsia="sr-Latn-CS"/>
              </w:rPr>
              <w:t>Мирјана Маричић</w:t>
            </w:r>
          </w:p>
        </w:tc>
        <w:tc>
          <w:tcPr>
            <w:tcW w:w="135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r w:rsidRPr="00DB3F7A">
              <w:rPr>
                <w:rFonts w:eastAsia="Times New Roman"/>
                <w:sz w:val="20"/>
                <w:szCs w:val="20"/>
                <w:lang w:val="sr-Cyrl-CS" w:eastAsia="sr-Latn-CS"/>
              </w:rPr>
              <w:t>2018.</w:t>
            </w:r>
          </w:p>
        </w:tc>
        <w:tc>
          <w:tcPr>
            <w:tcW w:w="1530" w:type="dxa"/>
            <w:gridSpan w:val="2"/>
            <w:vAlign w:val="center"/>
          </w:tcPr>
          <w:p w:rsidR="002351C4" w:rsidRPr="00DB3F7A" w:rsidRDefault="002351C4" w:rsidP="00DB3F7A">
            <w:pPr>
              <w:widowControl w:val="0"/>
              <w:tabs>
                <w:tab w:val="left" w:pos="567"/>
              </w:tabs>
              <w:autoSpaceDE w:val="0"/>
              <w:autoSpaceDN w:val="0"/>
              <w:adjustRightInd w:val="0"/>
              <w:spacing w:after="60"/>
              <w:jc w:val="center"/>
              <w:rPr>
                <w:rFonts w:eastAsia="Times New Roman"/>
                <w:sz w:val="20"/>
                <w:szCs w:val="20"/>
                <w:lang w:val="sr-Cyrl-CS" w:eastAsia="sr-Latn-CS"/>
              </w:rPr>
            </w:pPr>
          </w:p>
        </w:tc>
      </w:tr>
      <w:tr w:rsidR="002351C4" w:rsidRPr="002B42F1" w:rsidTr="00B85A64">
        <w:trPr>
          <w:trHeight w:val="227"/>
        </w:trPr>
        <w:tc>
          <w:tcPr>
            <w:tcW w:w="9810" w:type="dxa"/>
            <w:gridSpan w:val="12"/>
            <w:vAlign w:val="center"/>
          </w:tcPr>
          <w:p w:rsidR="002351C4" w:rsidRPr="002B42F1" w:rsidRDefault="002351C4" w:rsidP="00DB3F7A">
            <w:pPr>
              <w:widowControl w:val="0"/>
              <w:tabs>
                <w:tab w:val="left" w:pos="567"/>
              </w:tabs>
              <w:autoSpaceDE w:val="0"/>
              <w:autoSpaceDN w:val="0"/>
              <w:adjustRightInd w:val="0"/>
              <w:spacing w:after="60"/>
              <w:rPr>
                <w:rFonts w:eastAsia="Times New Roman"/>
                <w:sz w:val="16"/>
                <w:szCs w:val="16"/>
                <w:lang w:val="sr-Cyrl-CS" w:eastAsia="sr-Latn-CS"/>
              </w:rPr>
            </w:pPr>
            <w:r w:rsidRPr="002B42F1">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2351C4" w:rsidRPr="00F25B3D" w:rsidTr="00B85A64">
        <w:trPr>
          <w:trHeight w:val="227"/>
        </w:trPr>
        <w:tc>
          <w:tcPr>
            <w:tcW w:w="9810" w:type="dxa"/>
            <w:gridSpan w:val="12"/>
            <w:vAlign w:val="center"/>
          </w:tcPr>
          <w:p w:rsidR="002351C4" w:rsidRPr="00F25B3D" w:rsidRDefault="002351C4" w:rsidP="002B42F1">
            <w:pPr>
              <w:widowControl w:val="0"/>
              <w:tabs>
                <w:tab w:val="left" w:pos="567"/>
              </w:tabs>
              <w:autoSpaceDE w:val="0"/>
              <w:autoSpaceDN w:val="0"/>
              <w:adjustRightInd w:val="0"/>
              <w:spacing w:after="60"/>
              <w:rPr>
                <w:rFonts w:eastAsia="Times New Roman"/>
                <w:b/>
                <w:sz w:val="16"/>
                <w:szCs w:val="16"/>
                <w:lang w:val="sr-Latn-CS" w:eastAsia="sr-Latn-CS"/>
              </w:rPr>
            </w:pPr>
            <w:r w:rsidRPr="00F25B3D">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2351C4" w:rsidRPr="00F25B3D" w:rsidRDefault="002351C4" w:rsidP="002B42F1">
            <w:pPr>
              <w:widowControl w:val="0"/>
              <w:tabs>
                <w:tab w:val="left" w:pos="567"/>
              </w:tabs>
              <w:autoSpaceDE w:val="0"/>
              <w:autoSpaceDN w:val="0"/>
              <w:adjustRightInd w:val="0"/>
              <w:spacing w:after="60"/>
              <w:rPr>
                <w:rFonts w:eastAsia="Times New Roman"/>
                <w:b/>
                <w:sz w:val="16"/>
                <w:szCs w:val="16"/>
                <w:lang w:val="sr-Cyrl-CS" w:eastAsia="sr-Latn-CS"/>
              </w:rPr>
            </w:pPr>
            <w:r w:rsidRPr="00F25B3D">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jc w:val="both"/>
              <w:rPr>
                <w:rFonts w:eastAsia="Times New Roman"/>
                <w:sz w:val="20"/>
                <w:szCs w:val="20"/>
                <w:lang w:val="sr-Latn-RS" w:eastAsia="sr-Latn-RS"/>
              </w:rPr>
            </w:pPr>
            <w:r w:rsidRPr="00DB3F7A">
              <w:rPr>
                <w:rFonts w:eastAsia="Times New Roman"/>
                <w:sz w:val="20"/>
                <w:szCs w:val="20"/>
                <w:lang w:val="sr-Latn-CS" w:eastAsia="sr-Latn-CS"/>
              </w:rPr>
              <w:t>Anđić, B., Cvijetićanin S, Maričić,М. Stešević D. (2018). The contribution of dichotomous keys to the quality of biological-botanical knowledge of eighth grade students. Journal of Biological Education,52 (2). 1-17</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vertAlign w:val="subscript"/>
                <w:lang w:val="sr-Cyrl-RS" w:eastAsia="sr-Latn-CS"/>
              </w:rPr>
            </w:pPr>
            <w:r w:rsidRPr="00DB3F7A">
              <w:rPr>
                <w:rFonts w:eastAsia="Times New Roman"/>
                <w:sz w:val="20"/>
                <w:szCs w:val="20"/>
                <w:lang w:eastAsia="sr-Latn-CS"/>
              </w:rPr>
              <w:t>M</w:t>
            </w:r>
            <w:r w:rsidRPr="00DB3F7A">
              <w:rPr>
                <w:rFonts w:eastAsia="Times New Roman"/>
                <w:sz w:val="20"/>
                <w:szCs w:val="20"/>
                <w:lang w:val="sr-Cyrl-RS" w:eastAsia="sr-Latn-CS"/>
              </w:rPr>
              <w:t>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Đurendić-Brenesel, M., PIlija, V., Cvjetićanin, S., Ivetić, V., &amp; Mimica-Đukić, N. (2012). Regional distribution of opiate alkaloids in experimental animals' brain tissue and blood. Acta Veterinaria- Beograd, 62(2-3) 137-145.</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Srdić, V., &amp; Cvjetićanin, S. (2012). Obrazovne integracije Roma u Srbiji. Društvena istraživanja, 2 (116), 569-587.</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eastAsia="sr-Latn-CS"/>
              </w:rPr>
              <w:t>M</w:t>
            </w:r>
            <w:r w:rsidRPr="00DB3F7A">
              <w:rPr>
                <w:rFonts w:eastAsia="Times New Roman"/>
                <w:sz w:val="20"/>
                <w:szCs w:val="20"/>
                <w:lang w:val="sr-Cyrl-RS" w:eastAsia="sr-Latn-CS"/>
              </w:rPr>
              <w:t>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Cvjetićanin, S. (2013). Contribution of Student and Demonstration Experiments to the Quality of Students` Knowledge about Matter in the Initial Chemical Education. New educational review, 3, 123-134.</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Cvjetićanin, S., Pecanac, R., &amp; Djurendic-Breneesl, M. (2013). Computer Application in the Initial Education of Children in Natural Sciences. Croatian journal of education, 15, 87-108.</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Obadović, D., Rančić, I., Cvjetićanin, S., &amp; Segedinac, M. (2013). The Impact of Implementation of Simple Experiments on the Pupils' Positive Attitude in Learning Science Contents in Primary School. New educational review, 34(4), 138-150.</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Milenkovic, D., Segedinac, M., Hrin., T. &amp; Cvjeticanin, S. (2014). Cognitive load at differentlevel of chemistry representations. Croatian Journal of Education, 16(3), 699-722.</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Cvjetićanin, S., Obadović, D., &amp; Rančić, I. (2015). The Efficiency of Student and Demonstration Experiments in the Initial Physico-Chemical Education in Primary School. Croatian Journal of Education, 17(3), 11-39.</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Cvjetićanin, S., &amp; Maričić, M. (2017). The contribution of demonstration and student-led experiments on the students’ knowledge quality in the third grade of primary school. Journal of Baltic Science Education…</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 xml:space="preserve">Cvjetićanin, S., Segedinac, M., &amp; Segedinac, M. (2011). Problems of teachers related to teaching </w:t>
            </w:r>
            <w:r w:rsidRPr="00DB3F7A">
              <w:rPr>
                <w:rFonts w:eastAsia="Times New Roman"/>
                <w:sz w:val="20"/>
                <w:szCs w:val="20"/>
                <w:lang w:val="sr-Latn-CS" w:eastAsia="sr-Latn-CS"/>
              </w:rPr>
              <w:lastRenderedPageBreak/>
              <w:t>optional science subjects in elementary schools in Serbia. Croatian Journal of Education, 13 (2), 184-216.</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lastRenderedPageBreak/>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Cvjetićanin, S., Segedinac, M., &amp; Letić, Lj. (2009). Hemijska proizvodnja i primenjena hemija metala i nemetala u nastavnom programu hemije za osnovnu školu. Hemijska industrija, 63(2), 129-136</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Kuhajda, K., Cvjetićanin, S., Djurendić, E., Sakač, M., Penov-Gaši, K., Kojić, V., &amp; Bogdanović, V. (2009). Synthesis and cytotoxic activity of a series of bile acid derivatives. Hemijska industrija, (63)4, 313-318.</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Halaši T., Kalamković S., Cvjetićanin S., &amp; Segedinac M. (2010). Akademski koreni hemijskog inženjerstva u 18 i 19 veku u srednjoj Evropi. Hemijska industrija, 2, 157-163.</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Adamov, J., Segedinac, M., Cvjetićanin, S., &amp; Bakos, R. (2009). Concept maps as diagnostic tools in assessing the acquisition and retention of knowledge in biochemistry. Odgojne znanosti, 1(17), 53-71.</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Latn-RS" w:eastAsia="sr-Latn-CS"/>
              </w:rPr>
            </w:pPr>
            <w:r w:rsidRPr="00DB3F7A">
              <w:rPr>
                <w:rFonts w:eastAsia="Times New Roman"/>
                <w:sz w:val="20"/>
                <w:szCs w:val="20"/>
                <w:lang w:val="sr-Latn-R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Cvjetićanin, S., Segedinac, M., &amp; Adamov, J. (2010). Model of permanent ecochemical education of employees of chemical industry in the function of ecological development. Problemy ekorozwoju, 1, 53-58.</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Latn-RS" w:eastAsia="sr-Latn-CS"/>
              </w:rPr>
            </w:pPr>
            <w:r w:rsidRPr="00DB3F7A">
              <w:rPr>
                <w:rFonts w:eastAsia="Times New Roman"/>
                <w:sz w:val="20"/>
                <w:szCs w:val="20"/>
                <w:lang w:val="sr-Latn-RS" w:eastAsia="sr-Latn-CS"/>
              </w:rPr>
              <w:t>M23</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Цвјетићанин, С., Сегединац, М., Николић, Г. (2012): Ефикасност учења о животињама путем откривања у разредној настави, Настава и васпитање, 2, 365-383.</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Latn-RS" w:eastAsia="sr-Latn-CS"/>
              </w:rPr>
            </w:pPr>
            <w:r w:rsidRPr="00DB3F7A">
              <w:rPr>
                <w:rFonts w:eastAsia="Times New Roman"/>
                <w:sz w:val="20"/>
                <w:szCs w:val="20"/>
                <w:lang w:val="sr-Latn-RS" w:eastAsia="sr-Latn-CS"/>
              </w:rPr>
              <w:t>M24</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Pećanac, R., Sakač, M., Cvjetićanin, S.(2013): A more contemporary approach to computer-based learning, Teme, 3,1451-1465.</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Latn-RS" w:eastAsia="sr-Latn-CS"/>
              </w:rPr>
            </w:pPr>
            <w:r w:rsidRPr="00DB3F7A">
              <w:rPr>
                <w:rFonts w:eastAsia="Times New Roman"/>
                <w:sz w:val="20"/>
                <w:szCs w:val="20"/>
                <w:lang w:val="sr-Latn-RS" w:eastAsia="sr-Latn-CS"/>
              </w:rPr>
              <w:t>M24</w:t>
            </w:r>
          </w:p>
        </w:tc>
      </w:tr>
      <w:tr w:rsidR="002351C4" w:rsidRPr="00DB3F7A" w:rsidTr="00B85A64">
        <w:trPr>
          <w:trHeight w:val="227"/>
        </w:trPr>
        <w:tc>
          <w:tcPr>
            <w:tcW w:w="540" w:type="dxa"/>
            <w:vAlign w:val="center"/>
          </w:tcPr>
          <w:p w:rsidR="002351C4" w:rsidRPr="00DB3F7A" w:rsidRDefault="002351C4" w:rsidP="002A5DED">
            <w:pPr>
              <w:widowControl w:val="0"/>
              <w:numPr>
                <w:ilvl w:val="0"/>
                <w:numId w:val="7"/>
              </w:numPr>
              <w:tabs>
                <w:tab w:val="left" w:pos="567"/>
              </w:tabs>
              <w:autoSpaceDE w:val="0"/>
              <w:autoSpaceDN w:val="0"/>
              <w:adjustRightInd w:val="0"/>
              <w:ind w:left="504"/>
              <w:contextualSpacing/>
              <w:rPr>
                <w:rFonts w:eastAsia="Times New Roman"/>
                <w:sz w:val="20"/>
                <w:szCs w:val="20"/>
                <w:lang w:val="sr-Cyrl-CS" w:eastAsia="sr-Latn-CS"/>
              </w:rPr>
            </w:pPr>
          </w:p>
        </w:tc>
        <w:tc>
          <w:tcPr>
            <w:tcW w:w="8640" w:type="dxa"/>
            <w:gridSpan w:val="10"/>
            <w:tcBorders>
              <w:top w:val="single" w:sz="4" w:space="0" w:color="auto"/>
              <w:left w:val="single" w:sz="4" w:space="0" w:color="auto"/>
              <w:bottom w:val="single" w:sz="4" w:space="0" w:color="auto"/>
              <w:right w:val="single" w:sz="4" w:space="0" w:color="auto"/>
            </w:tcBorders>
            <w:shd w:val="clear" w:color="auto" w:fill="auto"/>
          </w:tcPr>
          <w:p w:rsidR="002351C4" w:rsidRPr="00DB3F7A" w:rsidRDefault="002351C4" w:rsidP="00DB3F7A">
            <w:pPr>
              <w:widowControl w:val="0"/>
              <w:autoSpaceDE w:val="0"/>
              <w:autoSpaceDN w:val="0"/>
              <w:adjustRightInd w:val="0"/>
              <w:jc w:val="both"/>
              <w:rPr>
                <w:rFonts w:eastAsia="Times New Roman"/>
                <w:sz w:val="20"/>
                <w:szCs w:val="20"/>
                <w:lang w:val="sr-Latn-CS" w:eastAsia="sr-Latn-CS"/>
              </w:rPr>
            </w:pPr>
            <w:r w:rsidRPr="00DB3F7A">
              <w:rPr>
                <w:rFonts w:eastAsia="Times New Roman"/>
                <w:sz w:val="20"/>
                <w:szCs w:val="20"/>
                <w:lang w:val="sr-Latn-CS" w:eastAsia="sr-Latn-CS"/>
              </w:rPr>
              <w:t>Cvjeticanin.S., Andjic.B.(2017). Teacher's Opinion About The Implementation Of Inclusive Education In Teaching Integrated Natural Sciences, Teme, XLI( 4),999-1016</w:t>
            </w:r>
          </w:p>
        </w:tc>
        <w:tc>
          <w:tcPr>
            <w:tcW w:w="630" w:type="dxa"/>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Latn-RS" w:eastAsia="sr-Latn-CS"/>
              </w:rPr>
            </w:pPr>
            <w:r w:rsidRPr="00DB3F7A">
              <w:rPr>
                <w:rFonts w:eastAsia="Times New Roman"/>
                <w:sz w:val="20"/>
                <w:szCs w:val="20"/>
                <w:lang w:val="sr-Latn-RS" w:eastAsia="sr-Latn-CS"/>
              </w:rPr>
              <w:t>M24</w:t>
            </w:r>
          </w:p>
        </w:tc>
      </w:tr>
      <w:tr w:rsidR="002351C4" w:rsidRPr="00DB3F7A" w:rsidTr="00B85A64">
        <w:trPr>
          <w:trHeight w:val="227"/>
        </w:trPr>
        <w:tc>
          <w:tcPr>
            <w:tcW w:w="9810" w:type="dxa"/>
            <w:gridSpan w:val="12"/>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b/>
                <w:sz w:val="20"/>
                <w:szCs w:val="20"/>
                <w:lang w:val="sr-Cyrl-CS" w:eastAsia="sr-Latn-CS"/>
              </w:rPr>
              <w:t>Збирни подаци научне активност наставника</w:t>
            </w:r>
          </w:p>
        </w:tc>
      </w:tr>
      <w:tr w:rsidR="002351C4" w:rsidRPr="00DB3F7A" w:rsidTr="00B85A64">
        <w:trPr>
          <w:trHeight w:val="227"/>
        </w:trPr>
        <w:tc>
          <w:tcPr>
            <w:tcW w:w="5117" w:type="dxa"/>
            <w:gridSpan w:val="5"/>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Укупан број цитата, без аутоцитата</w:t>
            </w:r>
          </w:p>
        </w:tc>
        <w:tc>
          <w:tcPr>
            <w:tcW w:w="4693" w:type="dxa"/>
            <w:gridSpan w:val="7"/>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15</w:t>
            </w:r>
          </w:p>
        </w:tc>
      </w:tr>
      <w:tr w:rsidR="002351C4" w:rsidRPr="00DB3F7A" w:rsidTr="00B85A64">
        <w:trPr>
          <w:trHeight w:val="227"/>
        </w:trPr>
        <w:tc>
          <w:tcPr>
            <w:tcW w:w="5117" w:type="dxa"/>
            <w:gridSpan w:val="5"/>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Укупан број радова са SCI (или SSCI) листе</w:t>
            </w:r>
          </w:p>
        </w:tc>
        <w:tc>
          <w:tcPr>
            <w:tcW w:w="4693" w:type="dxa"/>
            <w:gridSpan w:val="7"/>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17</w:t>
            </w:r>
          </w:p>
        </w:tc>
      </w:tr>
      <w:tr w:rsidR="002351C4" w:rsidRPr="00DB3F7A" w:rsidTr="00B85A64">
        <w:trPr>
          <w:trHeight w:val="227"/>
        </w:trPr>
        <w:tc>
          <w:tcPr>
            <w:tcW w:w="5117" w:type="dxa"/>
            <w:gridSpan w:val="5"/>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Тренутно учешће на пројектима</w:t>
            </w:r>
          </w:p>
        </w:tc>
        <w:tc>
          <w:tcPr>
            <w:tcW w:w="2404" w:type="dxa"/>
            <w:gridSpan w:val="4"/>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Домаћи</w:t>
            </w:r>
            <w:r>
              <w:rPr>
                <w:rFonts w:eastAsia="Times New Roman"/>
                <w:sz w:val="20"/>
                <w:szCs w:val="20"/>
                <w:lang w:val="sr-Cyrl-CS" w:eastAsia="sr-Latn-CS"/>
              </w:rPr>
              <w:t>:</w:t>
            </w:r>
            <w:r w:rsidRPr="00DB3F7A">
              <w:rPr>
                <w:rFonts w:eastAsia="Times New Roman"/>
                <w:sz w:val="20"/>
                <w:szCs w:val="20"/>
                <w:lang w:val="sr-Cyrl-CS" w:eastAsia="sr-Latn-CS"/>
              </w:rPr>
              <w:t xml:space="preserve"> 1</w:t>
            </w:r>
          </w:p>
        </w:tc>
        <w:tc>
          <w:tcPr>
            <w:tcW w:w="2289" w:type="dxa"/>
            <w:gridSpan w:val="3"/>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Међународни</w:t>
            </w:r>
            <w:r>
              <w:rPr>
                <w:rFonts w:eastAsia="Times New Roman"/>
                <w:sz w:val="20"/>
                <w:szCs w:val="20"/>
                <w:lang w:val="sr-Cyrl-CS" w:eastAsia="sr-Latn-CS"/>
              </w:rPr>
              <w:t>: -</w:t>
            </w:r>
          </w:p>
        </w:tc>
      </w:tr>
      <w:tr w:rsidR="002351C4" w:rsidRPr="00DB3F7A" w:rsidTr="00B85A64">
        <w:trPr>
          <w:trHeight w:val="227"/>
        </w:trPr>
        <w:tc>
          <w:tcPr>
            <w:tcW w:w="5117" w:type="dxa"/>
            <w:gridSpan w:val="5"/>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DB3F7A">
              <w:rPr>
                <w:rFonts w:eastAsia="Times New Roman"/>
                <w:sz w:val="20"/>
                <w:szCs w:val="20"/>
                <w:lang w:val="sr-Cyrl-CS" w:eastAsia="sr-Latn-CS"/>
              </w:rPr>
              <w:t>Усавршавање</w:t>
            </w:r>
          </w:p>
        </w:tc>
        <w:tc>
          <w:tcPr>
            <w:tcW w:w="2404" w:type="dxa"/>
            <w:gridSpan w:val="4"/>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p>
        </w:tc>
        <w:tc>
          <w:tcPr>
            <w:tcW w:w="2289" w:type="dxa"/>
            <w:gridSpan w:val="3"/>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p>
        </w:tc>
      </w:tr>
      <w:tr w:rsidR="002351C4" w:rsidRPr="00DB3F7A" w:rsidTr="00B85A64">
        <w:trPr>
          <w:trHeight w:val="227"/>
        </w:trPr>
        <w:tc>
          <w:tcPr>
            <w:tcW w:w="9810" w:type="dxa"/>
            <w:gridSpan w:val="12"/>
            <w:vAlign w:val="center"/>
          </w:tcPr>
          <w:p w:rsidR="002351C4" w:rsidRPr="00DB3F7A" w:rsidRDefault="002351C4" w:rsidP="00DB3F7A">
            <w:pPr>
              <w:widowControl w:val="0"/>
              <w:tabs>
                <w:tab w:val="left" w:pos="567"/>
              </w:tabs>
              <w:autoSpaceDE w:val="0"/>
              <w:autoSpaceDN w:val="0"/>
              <w:adjustRightInd w:val="0"/>
              <w:rPr>
                <w:rFonts w:eastAsia="Times New Roman"/>
                <w:sz w:val="20"/>
                <w:szCs w:val="20"/>
                <w:lang w:val="sr-Cyrl-CS" w:eastAsia="sr-Latn-CS"/>
              </w:rPr>
            </w:pPr>
            <w:r w:rsidRPr="000538EE">
              <w:rPr>
                <w:rFonts w:eastAsia="Times New Roman"/>
                <w:sz w:val="20"/>
                <w:szCs w:val="20"/>
                <w:lang w:val="sr-Cyrl-CS" w:eastAsia="sr-Latn-CS"/>
              </w:rPr>
              <w:t>Други подаци које сматрате релевантним</w:t>
            </w:r>
            <w:r w:rsidRPr="00DB3F7A">
              <w:rPr>
                <w:rFonts w:eastAsia="Times New Roman"/>
                <w:sz w:val="20"/>
                <w:szCs w:val="20"/>
                <w:lang w:val="sr-Cyrl-CS" w:eastAsia="sr-Latn-CS"/>
              </w:rPr>
              <w:t xml:space="preserve"> </w:t>
            </w:r>
            <w:r>
              <w:rPr>
                <w:rFonts w:eastAsia="Times New Roman"/>
                <w:sz w:val="20"/>
                <w:szCs w:val="20"/>
                <w:lang w:val="sr-Cyrl-CS" w:eastAsia="sr-Latn-CS"/>
              </w:rPr>
              <w:t xml:space="preserve">: </w:t>
            </w:r>
            <w:r w:rsidRPr="00DB3F7A">
              <w:rPr>
                <w:rFonts w:eastAsia="Times New Roman"/>
                <w:sz w:val="20"/>
                <w:szCs w:val="20"/>
                <w:lang w:val="sr-Cyrl-CS" w:eastAsia="sr-Latn-CS"/>
              </w:rPr>
              <w:t xml:space="preserve">Члан у </w:t>
            </w:r>
            <w:r>
              <w:rPr>
                <w:rFonts w:eastAsia="Times New Roman"/>
                <w:sz w:val="20"/>
                <w:szCs w:val="20"/>
                <w:lang w:val="sr-Cyrl-CS" w:eastAsia="sr-Latn-CS"/>
              </w:rPr>
              <w:t>пет Комисија</w:t>
            </w:r>
            <w:r w:rsidRPr="00DB3F7A">
              <w:rPr>
                <w:rFonts w:eastAsia="Times New Roman"/>
                <w:sz w:val="20"/>
                <w:szCs w:val="20"/>
                <w:lang w:val="sr-Cyrl-CS" w:eastAsia="sr-Latn-CS"/>
              </w:rPr>
              <w:t xml:space="preserve"> одбрањених докторских дисертација.</w:t>
            </w:r>
          </w:p>
        </w:tc>
      </w:tr>
      <w:tr w:rsidR="002351C4" w:rsidRPr="00DB3F7A" w:rsidTr="009625A2">
        <w:trPr>
          <w:trHeight w:val="227"/>
        </w:trPr>
        <w:tc>
          <w:tcPr>
            <w:tcW w:w="9810" w:type="dxa"/>
            <w:gridSpan w:val="12"/>
            <w:vAlign w:val="center"/>
          </w:tcPr>
          <w:p w:rsidR="002351C4" w:rsidRPr="000538EE" w:rsidRDefault="002351C4" w:rsidP="009625A2">
            <w:pPr>
              <w:widowControl w:val="0"/>
              <w:tabs>
                <w:tab w:val="left" w:pos="567"/>
              </w:tabs>
              <w:autoSpaceDE w:val="0"/>
              <w:autoSpaceDN w:val="0"/>
              <w:adjustRightInd w:val="0"/>
              <w:jc w:val="right"/>
              <w:rPr>
                <w:rFonts w:eastAsia="Times New Roman"/>
                <w:sz w:val="20"/>
                <w:szCs w:val="20"/>
                <w:lang w:val="sr-Cyrl-CS" w:eastAsia="sr-Latn-CS"/>
              </w:rPr>
            </w:pP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230745" w:rsidRDefault="00230745"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E42587" w:rsidRDefault="00E42587" w:rsidP="00E36EE2">
      <w:pPr>
        <w:rPr>
          <w:sz w:val="20"/>
          <w:szCs w:val="20"/>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
        <w:gridCol w:w="1440"/>
        <w:gridCol w:w="990"/>
        <w:gridCol w:w="769"/>
        <w:gridCol w:w="849"/>
        <w:gridCol w:w="1856"/>
        <w:gridCol w:w="478"/>
        <w:gridCol w:w="165"/>
        <w:gridCol w:w="1045"/>
        <w:gridCol w:w="958"/>
        <w:gridCol w:w="743"/>
      </w:tblGrid>
      <w:tr w:rsidR="00E42587" w:rsidRPr="00E42587" w:rsidTr="00B85A64">
        <w:trPr>
          <w:trHeight w:val="227"/>
        </w:trPr>
        <w:tc>
          <w:tcPr>
            <w:tcW w:w="3060" w:type="dxa"/>
            <w:gridSpan w:val="4"/>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Име и презиме</w:t>
            </w:r>
          </w:p>
        </w:tc>
        <w:tc>
          <w:tcPr>
            <w:tcW w:w="6863" w:type="dxa"/>
            <w:gridSpan w:val="8"/>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Latn-CS" w:eastAsia="sr-Latn-CS"/>
              </w:rPr>
            </w:pPr>
            <w:r w:rsidRPr="00E42587">
              <w:rPr>
                <w:rFonts w:eastAsia="Times New Roman"/>
                <w:sz w:val="20"/>
                <w:szCs w:val="20"/>
                <w:lang w:val="sr-Latn-CS" w:eastAsia="sr-Latn-CS"/>
              </w:rPr>
              <w:t xml:space="preserve">Гордана </w:t>
            </w:r>
            <w:bookmarkStart w:id="7" w:name="Козодеровић"/>
            <w:r w:rsidRPr="00E42587">
              <w:rPr>
                <w:rFonts w:eastAsia="Times New Roman"/>
                <w:sz w:val="20"/>
                <w:szCs w:val="20"/>
                <w:lang w:val="sr-Latn-CS" w:eastAsia="sr-Latn-CS"/>
              </w:rPr>
              <w:t>Козодеровић</w:t>
            </w:r>
            <w:bookmarkEnd w:id="7"/>
          </w:p>
        </w:tc>
      </w:tr>
      <w:tr w:rsidR="00E42587" w:rsidRPr="00E42587" w:rsidTr="00B85A64">
        <w:trPr>
          <w:trHeight w:val="227"/>
        </w:trPr>
        <w:tc>
          <w:tcPr>
            <w:tcW w:w="3060" w:type="dxa"/>
            <w:gridSpan w:val="4"/>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Звање</w:t>
            </w:r>
          </w:p>
        </w:tc>
        <w:tc>
          <w:tcPr>
            <w:tcW w:w="6863" w:type="dxa"/>
            <w:gridSpan w:val="8"/>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Ванредни професор</w:t>
            </w:r>
          </w:p>
        </w:tc>
      </w:tr>
      <w:tr w:rsidR="00E42587" w:rsidRPr="00E42587" w:rsidTr="00B85A64">
        <w:trPr>
          <w:trHeight w:val="227"/>
        </w:trPr>
        <w:tc>
          <w:tcPr>
            <w:tcW w:w="3060" w:type="dxa"/>
            <w:gridSpan w:val="4"/>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Ужа научна област</w:t>
            </w:r>
          </w:p>
        </w:tc>
        <w:tc>
          <w:tcPr>
            <w:tcW w:w="6863" w:type="dxa"/>
            <w:gridSpan w:val="8"/>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Природне науке</w:t>
            </w:r>
          </w:p>
        </w:tc>
      </w:tr>
      <w:tr w:rsidR="00914094" w:rsidRPr="00E42587" w:rsidTr="00B85A64">
        <w:trPr>
          <w:trHeight w:val="227"/>
        </w:trPr>
        <w:tc>
          <w:tcPr>
            <w:tcW w:w="2070"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Академска каријера</w:t>
            </w:r>
          </w:p>
        </w:tc>
        <w:tc>
          <w:tcPr>
            <w:tcW w:w="990"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Година </w:t>
            </w:r>
          </w:p>
        </w:tc>
        <w:tc>
          <w:tcPr>
            <w:tcW w:w="4117" w:type="dxa"/>
            <w:gridSpan w:val="5"/>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Институција </w:t>
            </w:r>
          </w:p>
        </w:tc>
        <w:tc>
          <w:tcPr>
            <w:tcW w:w="2746" w:type="dxa"/>
            <w:gridSpan w:val="3"/>
            <w:vAlign w:val="center"/>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914094" w:rsidRPr="00E42587" w:rsidTr="00B85A64">
        <w:trPr>
          <w:trHeight w:val="227"/>
        </w:trPr>
        <w:tc>
          <w:tcPr>
            <w:tcW w:w="2070" w:type="dxa"/>
            <w:gridSpan w:val="3"/>
            <w:vAlign w:val="center"/>
          </w:tcPr>
          <w:p w:rsidR="00914094" w:rsidRPr="002351C4" w:rsidRDefault="00914094" w:rsidP="002351C4">
            <w:pPr>
              <w:rPr>
                <w:sz w:val="20"/>
                <w:szCs w:val="20"/>
                <w:lang w:val="sr-Cyrl-CS" w:eastAsia="sr-Latn-CS"/>
              </w:rPr>
            </w:pPr>
            <w:r w:rsidRPr="002351C4">
              <w:rPr>
                <w:sz w:val="20"/>
                <w:szCs w:val="20"/>
                <w:lang w:val="sr-Cyrl-CS" w:eastAsia="sr-Latn-CS"/>
              </w:rPr>
              <w:t>Избор у звање</w:t>
            </w:r>
          </w:p>
        </w:tc>
        <w:tc>
          <w:tcPr>
            <w:tcW w:w="990" w:type="dxa"/>
            <w:vAlign w:val="center"/>
          </w:tcPr>
          <w:p w:rsidR="00914094" w:rsidRPr="002351C4" w:rsidRDefault="00914094" w:rsidP="002351C4">
            <w:pPr>
              <w:rPr>
                <w:sz w:val="20"/>
                <w:szCs w:val="20"/>
                <w:lang w:val="sr-Cyrl-CS" w:eastAsia="sr-Latn-CS"/>
              </w:rPr>
            </w:pPr>
            <w:r w:rsidRPr="002351C4">
              <w:rPr>
                <w:sz w:val="20"/>
                <w:szCs w:val="20"/>
                <w:lang w:val="sr-Cyrl-CS" w:eastAsia="sr-Latn-CS"/>
              </w:rPr>
              <w:t>2018.</w:t>
            </w:r>
          </w:p>
        </w:tc>
        <w:tc>
          <w:tcPr>
            <w:tcW w:w="4117" w:type="dxa"/>
            <w:gridSpan w:val="5"/>
            <w:vAlign w:val="center"/>
          </w:tcPr>
          <w:p w:rsidR="00914094" w:rsidRPr="002351C4" w:rsidRDefault="00914094" w:rsidP="002351C4">
            <w:pPr>
              <w:rPr>
                <w:sz w:val="20"/>
                <w:szCs w:val="20"/>
                <w:lang w:val="sr-Cyrl-CS" w:eastAsia="sr-Latn-CS"/>
              </w:rPr>
            </w:pPr>
            <w:r w:rsidRPr="002351C4">
              <w:rPr>
                <w:sz w:val="20"/>
                <w:szCs w:val="20"/>
                <w:lang w:val="sr-Cyrl-CS" w:eastAsia="sr-Latn-CS"/>
              </w:rPr>
              <w:t xml:space="preserve">Педагошки факултет у Сомбору, </w:t>
            </w:r>
            <w:r w:rsidR="00B85A64" w:rsidRPr="002351C4">
              <w:rPr>
                <w:sz w:val="20"/>
                <w:szCs w:val="20"/>
                <w:lang w:val="sr-Cyrl-CS" w:eastAsia="sr-Latn-CS"/>
              </w:rPr>
              <w:t>УНС</w:t>
            </w:r>
          </w:p>
        </w:tc>
        <w:tc>
          <w:tcPr>
            <w:tcW w:w="2746" w:type="dxa"/>
            <w:gridSpan w:val="3"/>
            <w:vAlign w:val="center"/>
          </w:tcPr>
          <w:p w:rsidR="00914094" w:rsidRPr="002351C4" w:rsidRDefault="00914094" w:rsidP="002351C4">
            <w:pPr>
              <w:rPr>
                <w:sz w:val="20"/>
                <w:szCs w:val="20"/>
                <w:lang w:val="sr-Cyrl-CS" w:eastAsia="sr-Latn-CS"/>
              </w:rPr>
            </w:pPr>
            <w:r w:rsidRPr="002351C4">
              <w:rPr>
                <w:sz w:val="20"/>
                <w:szCs w:val="20"/>
                <w:lang w:val="sr-Cyrl-CS" w:eastAsia="sr-Latn-CS"/>
              </w:rPr>
              <w:t>Природне науке</w:t>
            </w:r>
          </w:p>
        </w:tc>
      </w:tr>
      <w:tr w:rsidR="00914094" w:rsidRPr="00E42587" w:rsidTr="00B85A64">
        <w:trPr>
          <w:trHeight w:val="227"/>
        </w:trPr>
        <w:tc>
          <w:tcPr>
            <w:tcW w:w="2070" w:type="dxa"/>
            <w:gridSpan w:val="3"/>
            <w:vAlign w:val="center"/>
          </w:tcPr>
          <w:p w:rsidR="00914094" w:rsidRPr="002351C4" w:rsidRDefault="00914094" w:rsidP="002351C4">
            <w:pPr>
              <w:rPr>
                <w:sz w:val="20"/>
                <w:szCs w:val="20"/>
                <w:lang w:val="sr-Cyrl-CS" w:eastAsia="sr-Latn-CS"/>
              </w:rPr>
            </w:pPr>
            <w:r w:rsidRPr="002351C4">
              <w:rPr>
                <w:sz w:val="20"/>
                <w:szCs w:val="20"/>
                <w:lang w:val="sr-Cyrl-CS" w:eastAsia="sr-Latn-CS"/>
              </w:rPr>
              <w:t>Докторат</w:t>
            </w:r>
          </w:p>
        </w:tc>
        <w:tc>
          <w:tcPr>
            <w:tcW w:w="990" w:type="dxa"/>
            <w:vAlign w:val="center"/>
          </w:tcPr>
          <w:p w:rsidR="00914094" w:rsidRPr="002351C4" w:rsidRDefault="00914094" w:rsidP="002351C4">
            <w:pPr>
              <w:rPr>
                <w:sz w:val="20"/>
                <w:szCs w:val="20"/>
                <w:lang w:val="sr-Cyrl-CS" w:eastAsia="sr-Latn-CS"/>
              </w:rPr>
            </w:pPr>
            <w:r w:rsidRPr="002351C4">
              <w:rPr>
                <w:sz w:val="20"/>
                <w:szCs w:val="20"/>
                <w:lang w:val="sr-Cyrl-CS" w:eastAsia="sr-Latn-CS"/>
              </w:rPr>
              <w:t>2012.</w:t>
            </w:r>
          </w:p>
        </w:tc>
        <w:tc>
          <w:tcPr>
            <w:tcW w:w="4117" w:type="dxa"/>
            <w:gridSpan w:val="5"/>
            <w:vAlign w:val="center"/>
          </w:tcPr>
          <w:p w:rsidR="00914094" w:rsidRPr="002351C4" w:rsidRDefault="00914094" w:rsidP="002351C4">
            <w:pPr>
              <w:rPr>
                <w:sz w:val="20"/>
                <w:szCs w:val="20"/>
                <w:lang w:val="sr-Cyrl-CS" w:eastAsia="sr-Latn-CS"/>
              </w:rPr>
            </w:pPr>
            <w:r w:rsidRPr="002351C4">
              <w:rPr>
                <w:sz w:val="20"/>
                <w:szCs w:val="20"/>
                <w:lang w:val="sr-Cyrl-CS" w:eastAsia="sr-Latn-CS"/>
              </w:rPr>
              <w:t>Биолошки факултет, Универзитет у Београду</w:t>
            </w:r>
          </w:p>
        </w:tc>
        <w:tc>
          <w:tcPr>
            <w:tcW w:w="2746" w:type="dxa"/>
            <w:gridSpan w:val="3"/>
            <w:vAlign w:val="center"/>
          </w:tcPr>
          <w:p w:rsidR="00914094" w:rsidRPr="002351C4" w:rsidRDefault="00914094" w:rsidP="002351C4">
            <w:pPr>
              <w:rPr>
                <w:sz w:val="20"/>
                <w:szCs w:val="20"/>
                <w:lang w:val="sr-Cyrl-CS" w:eastAsia="sr-Latn-CS"/>
              </w:rPr>
            </w:pPr>
            <w:r w:rsidRPr="002351C4">
              <w:rPr>
                <w:sz w:val="20"/>
                <w:szCs w:val="20"/>
                <w:lang w:val="sr-Cyrl-CS" w:eastAsia="sr-Latn-CS"/>
              </w:rPr>
              <w:t>Биологија</w:t>
            </w:r>
          </w:p>
        </w:tc>
      </w:tr>
      <w:tr w:rsidR="002351C4" w:rsidRPr="00E42587" w:rsidTr="00B85A64">
        <w:trPr>
          <w:trHeight w:val="227"/>
        </w:trPr>
        <w:tc>
          <w:tcPr>
            <w:tcW w:w="2070" w:type="dxa"/>
            <w:gridSpan w:val="3"/>
            <w:vAlign w:val="center"/>
          </w:tcPr>
          <w:p w:rsidR="002351C4" w:rsidRPr="00176327" w:rsidRDefault="002351C4" w:rsidP="00365FD3">
            <w:pPr>
              <w:widowControl w:val="0"/>
              <w:tabs>
                <w:tab w:val="left" w:pos="567"/>
              </w:tabs>
              <w:autoSpaceDE w:val="0"/>
              <w:autoSpaceDN w:val="0"/>
              <w:adjustRightInd w:val="0"/>
              <w:spacing w:line="200" w:lineRule="exact"/>
              <w:rPr>
                <w:rFonts w:eastAsia="Times New Roman"/>
                <w:sz w:val="20"/>
                <w:szCs w:val="20"/>
                <w:lang w:val="sr-Cyrl-CS" w:eastAsia="sr-Latn-CS"/>
              </w:rPr>
            </w:pPr>
            <w:r>
              <w:rPr>
                <w:rFonts w:eastAsia="Times New Roman"/>
                <w:sz w:val="20"/>
                <w:szCs w:val="20"/>
                <w:lang w:val="sr-Cyrl-CS" w:eastAsia="sr-Latn-CS"/>
              </w:rPr>
              <w:t>Магистратура</w:t>
            </w:r>
          </w:p>
        </w:tc>
        <w:tc>
          <w:tcPr>
            <w:tcW w:w="990" w:type="dxa"/>
            <w:vAlign w:val="center"/>
          </w:tcPr>
          <w:p w:rsidR="002351C4" w:rsidRPr="00176327" w:rsidRDefault="002351C4" w:rsidP="00365FD3">
            <w:pPr>
              <w:widowControl w:val="0"/>
              <w:tabs>
                <w:tab w:val="left" w:pos="567"/>
              </w:tabs>
              <w:autoSpaceDE w:val="0"/>
              <w:autoSpaceDN w:val="0"/>
              <w:adjustRightInd w:val="0"/>
              <w:spacing w:line="200" w:lineRule="exact"/>
              <w:rPr>
                <w:rFonts w:eastAsia="Times New Roman"/>
                <w:sz w:val="20"/>
                <w:szCs w:val="20"/>
                <w:lang w:val="sr-Cyrl-CS" w:eastAsia="sr-Latn-CS"/>
              </w:rPr>
            </w:pPr>
            <w:r>
              <w:rPr>
                <w:rFonts w:eastAsia="Times New Roman"/>
                <w:sz w:val="20"/>
                <w:szCs w:val="20"/>
                <w:lang w:val="sr-Cyrl-CS" w:eastAsia="sr-Latn-CS"/>
              </w:rPr>
              <w:t>2001.</w:t>
            </w:r>
          </w:p>
        </w:tc>
        <w:tc>
          <w:tcPr>
            <w:tcW w:w="4117" w:type="dxa"/>
            <w:gridSpan w:val="5"/>
            <w:vAlign w:val="center"/>
          </w:tcPr>
          <w:p w:rsidR="002351C4" w:rsidRPr="00176327" w:rsidRDefault="002351C4" w:rsidP="00365FD3">
            <w:pPr>
              <w:widowControl w:val="0"/>
              <w:tabs>
                <w:tab w:val="left" w:pos="567"/>
              </w:tabs>
              <w:autoSpaceDE w:val="0"/>
              <w:autoSpaceDN w:val="0"/>
              <w:adjustRightInd w:val="0"/>
              <w:spacing w:line="200" w:lineRule="exact"/>
              <w:rPr>
                <w:rFonts w:eastAsia="Times New Roman"/>
                <w:sz w:val="20"/>
                <w:szCs w:val="20"/>
                <w:lang w:val="sr-Cyrl-CS" w:eastAsia="sr-Latn-CS"/>
              </w:rPr>
            </w:pPr>
            <w:r>
              <w:rPr>
                <w:rFonts w:eastAsia="Times New Roman"/>
                <w:sz w:val="20"/>
                <w:szCs w:val="20"/>
                <w:lang w:val="sr-Cyrl-CS" w:eastAsia="sr-Latn-CS"/>
              </w:rPr>
              <w:t xml:space="preserve">Биолошки факултет, Универзитет </w:t>
            </w:r>
            <w:r w:rsidRPr="00176327">
              <w:rPr>
                <w:rFonts w:eastAsia="Times New Roman"/>
                <w:sz w:val="20"/>
                <w:szCs w:val="20"/>
                <w:lang w:val="sr-Cyrl-CS" w:eastAsia="sr-Latn-CS"/>
              </w:rPr>
              <w:t>у Београду</w:t>
            </w:r>
          </w:p>
        </w:tc>
        <w:tc>
          <w:tcPr>
            <w:tcW w:w="2746" w:type="dxa"/>
            <w:gridSpan w:val="3"/>
            <w:vAlign w:val="center"/>
          </w:tcPr>
          <w:p w:rsidR="002351C4" w:rsidRPr="00176327" w:rsidRDefault="002351C4" w:rsidP="00365FD3">
            <w:pPr>
              <w:widowControl w:val="0"/>
              <w:tabs>
                <w:tab w:val="left" w:pos="567"/>
              </w:tabs>
              <w:autoSpaceDE w:val="0"/>
              <w:autoSpaceDN w:val="0"/>
              <w:adjustRightInd w:val="0"/>
              <w:spacing w:line="200" w:lineRule="exact"/>
              <w:rPr>
                <w:rFonts w:eastAsia="Times New Roman"/>
                <w:sz w:val="20"/>
                <w:szCs w:val="20"/>
                <w:lang w:val="sr-Cyrl-CS" w:eastAsia="sr-Latn-CS"/>
              </w:rPr>
            </w:pPr>
            <w:r w:rsidRPr="00176327">
              <w:rPr>
                <w:rFonts w:eastAsia="Times New Roman"/>
                <w:sz w:val="20"/>
                <w:szCs w:val="20"/>
                <w:lang w:val="sr-Cyrl-CS" w:eastAsia="sr-Latn-CS"/>
              </w:rPr>
              <w:t>Биологија</w:t>
            </w:r>
          </w:p>
        </w:tc>
      </w:tr>
      <w:tr w:rsidR="002351C4" w:rsidRPr="00E42587" w:rsidTr="00B85A64">
        <w:trPr>
          <w:trHeight w:val="227"/>
        </w:trPr>
        <w:tc>
          <w:tcPr>
            <w:tcW w:w="2070" w:type="dxa"/>
            <w:gridSpan w:val="3"/>
            <w:vAlign w:val="center"/>
          </w:tcPr>
          <w:p w:rsidR="002351C4" w:rsidRPr="002351C4" w:rsidRDefault="002351C4" w:rsidP="002351C4">
            <w:pPr>
              <w:rPr>
                <w:sz w:val="20"/>
                <w:szCs w:val="20"/>
                <w:lang w:val="sr-Cyrl-CS" w:eastAsia="sr-Latn-CS"/>
              </w:rPr>
            </w:pPr>
            <w:r w:rsidRPr="002351C4">
              <w:rPr>
                <w:sz w:val="20"/>
                <w:szCs w:val="20"/>
                <w:lang w:val="sr-Cyrl-CS" w:eastAsia="sr-Latn-CS"/>
              </w:rPr>
              <w:t>Диплома</w:t>
            </w:r>
          </w:p>
        </w:tc>
        <w:tc>
          <w:tcPr>
            <w:tcW w:w="990" w:type="dxa"/>
            <w:vAlign w:val="center"/>
          </w:tcPr>
          <w:p w:rsidR="002351C4" w:rsidRPr="002351C4" w:rsidRDefault="002351C4" w:rsidP="002351C4">
            <w:pPr>
              <w:rPr>
                <w:sz w:val="20"/>
                <w:szCs w:val="20"/>
                <w:lang w:val="sr-Cyrl-CS" w:eastAsia="sr-Latn-CS"/>
              </w:rPr>
            </w:pPr>
            <w:r w:rsidRPr="002351C4">
              <w:rPr>
                <w:sz w:val="20"/>
                <w:szCs w:val="20"/>
                <w:lang w:val="sr-Cyrl-CS" w:eastAsia="sr-Latn-CS"/>
              </w:rPr>
              <w:t>1994.</w:t>
            </w:r>
          </w:p>
        </w:tc>
        <w:tc>
          <w:tcPr>
            <w:tcW w:w="4117" w:type="dxa"/>
            <w:gridSpan w:val="5"/>
            <w:vAlign w:val="center"/>
          </w:tcPr>
          <w:p w:rsidR="002351C4" w:rsidRPr="002351C4" w:rsidRDefault="002351C4" w:rsidP="002351C4">
            <w:pPr>
              <w:rPr>
                <w:sz w:val="20"/>
                <w:szCs w:val="20"/>
                <w:lang w:val="sr-Cyrl-CS" w:eastAsia="sr-Latn-CS"/>
              </w:rPr>
            </w:pPr>
            <w:r w:rsidRPr="002351C4">
              <w:rPr>
                <w:sz w:val="20"/>
                <w:szCs w:val="20"/>
                <w:lang w:val="sr-Cyrl-CS" w:eastAsia="sr-Latn-CS"/>
              </w:rPr>
              <w:t>Биолошки факултет, Универзитет у Београду</w:t>
            </w:r>
          </w:p>
        </w:tc>
        <w:tc>
          <w:tcPr>
            <w:tcW w:w="2746" w:type="dxa"/>
            <w:gridSpan w:val="3"/>
            <w:vAlign w:val="center"/>
          </w:tcPr>
          <w:p w:rsidR="002351C4" w:rsidRPr="002351C4" w:rsidRDefault="002351C4" w:rsidP="002351C4">
            <w:pPr>
              <w:rPr>
                <w:sz w:val="20"/>
                <w:szCs w:val="20"/>
                <w:lang w:val="sr-Cyrl-CS" w:eastAsia="sr-Latn-CS"/>
              </w:rPr>
            </w:pPr>
            <w:r w:rsidRPr="002351C4">
              <w:rPr>
                <w:sz w:val="20"/>
                <w:szCs w:val="20"/>
                <w:lang w:val="sr-Cyrl-CS" w:eastAsia="sr-Latn-CS"/>
              </w:rPr>
              <w:t>Биологија</w:t>
            </w:r>
          </w:p>
        </w:tc>
      </w:tr>
      <w:tr w:rsidR="002351C4" w:rsidRPr="00E42587" w:rsidTr="00CE5358">
        <w:trPr>
          <w:trHeight w:val="227"/>
        </w:trPr>
        <w:tc>
          <w:tcPr>
            <w:tcW w:w="9923" w:type="dxa"/>
            <w:gridSpan w:val="12"/>
            <w:vAlign w:val="center"/>
          </w:tcPr>
          <w:p w:rsidR="002351C4" w:rsidRPr="004B0977" w:rsidRDefault="002351C4"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2351C4" w:rsidRPr="00E42587" w:rsidTr="00B85A64">
        <w:trPr>
          <w:trHeight w:val="227"/>
        </w:trPr>
        <w:tc>
          <w:tcPr>
            <w:tcW w:w="630"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Р.Б.</w:t>
            </w:r>
          </w:p>
        </w:tc>
        <w:tc>
          <w:tcPr>
            <w:tcW w:w="3199" w:type="dxa"/>
            <w:gridSpan w:val="3"/>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Наслов дисертације</w:t>
            </w:r>
          </w:p>
        </w:tc>
        <w:tc>
          <w:tcPr>
            <w:tcW w:w="2705"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Име кандидата</w:t>
            </w:r>
          </w:p>
        </w:tc>
        <w:tc>
          <w:tcPr>
            <w:tcW w:w="1688" w:type="dxa"/>
            <w:gridSpan w:val="3"/>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*пријављена </w:t>
            </w:r>
          </w:p>
        </w:tc>
        <w:tc>
          <w:tcPr>
            <w:tcW w:w="1701"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одбрањена</w:t>
            </w:r>
          </w:p>
        </w:tc>
      </w:tr>
      <w:tr w:rsidR="002351C4" w:rsidRPr="00E42587" w:rsidTr="00B85A64">
        <w:trPr>
          <w:trHeight w:val="227"/>
        </w:trPr>
        <w:tc>
          <w:tcPr>
            <w:tcW w:w="630"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3199" w:type="dxa"/>
            <w:gridSpan w:val="3"/>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2705"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1688" w:type="dxa"/>
            <w:gridSpan w:val="3"/>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1701"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p>
        </w:tc>
      </w:tr>
      <w:tr w:rsidR="002351C4" w:rsidRPr="002B42F1" w:rsidTr="00CE5358">
        <w:trPr>
          <w:trHeight w:val="227"/>
        </w:trPr>
        <w:tc>
          <w:tcPr>
            <w:tcW w:w="9923" w:type="dxa"/>
            <w:gridSpan w:val="12"/>
            <w:vAlign w:val="center"/>
          </w:tcPr>
          <w:p w:rsidR="002351C4" w:rsidRPr="002B42F1" w:rsidRDefault="002351C4" w:rsidP="00E42587">
            <w:pPr>
              <w:widowControl w:val="0"/>
              <w:tabs>
                <w:tab w:val="left" w:pos="567"/>
              </w:tabs>
              <w:autoSpaceDE w:val="0"/>
              <w:autoSpaceDN w:val="0"/>
              <w:adjustRightInd w:val="0"/>
              <w:spacing w:after="60"/>
              <w:rPr>
                <w:rFonts w:eastAsia="Times New Roman"/>
                <w:sz w:val="16"/>
                <w:szCs w:val="16"/>
                <w:lang w:val="sr-Cyrl-CS" w:eastAsia="sr-Latn-CS"/>
              </w:rPr>
            </w:pPr>
            <w:r w:rsidRPr="002B42F1">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2351C4" w:rsidRPr="00B85A64" w:rsidTr="00CE5358">
        <w:trPr>
          <w:trHeight w:val="227"/>
        </w:trPr>
        <w:tc>
          <w:tcPr>
            <w:tcW w:w="9923" w:type="dxa"/>
            <w:gridSpan w:val="12"/>
            <w:vAlign w:val="center"/>
          </w:tcPr>
          <w:p w:rsidR="002351C4" w:rsidRPr="00B85A64" w:rsidRDefault="002351C4" w:rsidP="002B42F1">
            <w:pPr>
              <w:widowControl w:val="0"/>
              <w:tabs>
                <w:tab w:val="left" w:pos="567"/>
              </w:tabs>
              <w:autoSpaceDE w:val="0"/>
              <w:autoSpaceDN w:val="0"/>
              <w:adjustRightInd w:val="0"/>
              <w:spacing w:after="60"/>
              <w:rPr>
                <w:rFonts w:eastAsia="Times New Roman"/>
                <w:b/>
                <w:sz w:val="16"/>
                <w:szCs w:val="16"/>
                <w:lang w:val="sr-Latn-CS" w:eastAsia="sr-Latn-CS"/>
              </w:rPr>
            </w:pPr>
            <w:r w:rsidRPr="00B85A6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2351C4" w:rsidRPr="00B85A64" w:rsidRDefault="002351C4" w:rsidP="002B42F1">
            <w:pPr>
              <w:widowControl w:val="0"/>
              <w:tabs>
                <w:tab w:val="left" w:pos="567"/>
              </w:tabs>
              <w:autoSpaceDE w:val="0"/>
              <w:autoSpaceDN w:val="0"/>
              <w:adjustRightInd w:val="0"/>
              <w:spacing w:after="60"/>
              <w:rPr>
                <w:rFonts w:eastAsia="Times New Roman"/>
                <w:b/>
                <w:sz w:val="16"/>
                <w:szCs w:val="16"/>
                <w:lang w:val="sr-Cyrl-CS" w:eastAsia="sr-Latn-CS"/>
              </w:rPr>
            </w:pPr>
            <w:r w:rsidRPr="00B85A6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Cyrl-CS" w:eastAsia="sr-Latn-CS"/>
              </w:rPr>
            </w:pPr>
            <w:r w:rsidRPr="00E42587">
              <w:rPr>
                <w:rFonts w:eastAsia="Times New Roman"/>
                <w:sz w:val="20"/>
                <w:szCs w:val="20"/>
                <w:lang w:val="sr-Cyrl-CS" w:eastAsia="sr-Latn-CS"/>
              </w:rPr>
              <w:t>1.</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sz w:val="22"/>
                <w:szCs w:val="22"/>
                <w:lang w:val="sr-Latn-CS" w:eastAsia="sr-Latn-CS"/>
              </w:rPr>
              <w:t xml:space="preserve">Petrović, D., Bogosavljević-Šijakov, M., </w:t>
            </w:r>
            <w:r w:rsidRPr="00E42587">
              <w:rPr>
                <w:b/>
                <w:sz w:val="22"/>
                <w:szCs w:val="22"/>
                <w:lang w:val="sr-Latn-CS" w:eastAsia="sr-Latn-CS"/>
              </w:rPr>
              <w:t>Kozoderović, G</w:t>
            </w:r>
            <w:r w:rsidRPr="00E42587">
              <w:rPr>
                <w:sz w:val="22"/>
                <w:szCs w:val="22"/>
                <w:lang w:val="sr-Latn-CS" w:eastAsia="sr-Latn-CS"/>
              </w:rPr>
              <w:t xml:space="preserve"> (2016). Misconceptions of Undergraduate Students in Classification within Kingdom Animalia Invertebrates/Vertebrates).</w:t>
            </w:r>
            <w:r w:rsidRPr="00E42587">
              <w:rPr>
                <w:sz w:val="22"/>
                <w:szCs w:val="22"/>
                <w:lang w:val="sr-Cyrl-RS" w:eastAsia="sr-Latn-CS"/>
              </w:rPr>
              <w:t xml:space="preserve"> </w:t>
            </w:r>
            <w:r w:rsidRPr="00E42587">
              <w:rPr>
                <w:sz w:val="22"/>
                <w:szCs w:val="22"/>
                <w:lang w:val="sr-Latn-CS" w:eastAsia="sr-Latn-CS"/>
              </w:rPr>
              <w:t>Education and the Social Challenges at the Beginning of the 21</w:t>
            </w:r>
            <w:r w:rsidRPr="00E42587">
              <w:rPr>
                <w:position w:val="7"/>
                <w:sz w:val="22"/>
                <w:szCs w:val="22"/>
                <w:lang w:val="sr-Latn-CS" w:eastAsia="sr-Latn-CS"/>
              </w:rPr>
              <w:t>st</w:t>
            </w:r>
            <w:r w:rsidRPr="00E42587">
              <w:rPr>
                <w:sz w:val="22"/>
                <w:szCs w:val="22"/>
                <w:lang w:val="sr-Latn-CS" w:eastAsia="sr-Latn-CS"/>
              </w:rPr>
              <w:t xml:space="preserve"> Century (editor in chief Danijela Petrović, Mihael Antolović), Faculty of Education in Sombor; 186-200</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eastAsia="sr-Latn-CS"/>
              </w:rPr>
              <w:t>M</w:t>
            </w:r>
            <w:r w:rsidRPr="00E42587">
              <w:rPr>
                <w:rFonts w:eastAsia="Times New Roman"/>
                <w:sz w:val="20"/>
                <w:szCs w:val="20"/>
                <w:lang w:val="sr-Latn-CS" w:eastAsia="sr-Latn-CS"/>
              </w:rPr>
              <w:t>14</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Cyrl-CS" w:eastAsia="sr-Latn-CS"/>
              </w:rPr>
            </w:pPr>
            <w:r w:rsidRPr="00E42587">
              <w:rPr>
                <w:rFonts w:eastAsia="Times New Roman"/>
                <w:sz w:val="20"/>
                <w:szCs w:val="20"/>
                <w:lang w:val="sr-Cyrl-CS" w:eastAsia="sr-Latn-CS"/>
              </w:rPr>
              <w:t>2.</w:t>
            </w:r>
          </w:p>
        </w:tc>
        <w:tc>
          <w:tcPr>
            <w:tcW w:w="8640" w:type="dxa"/>
            <w:gridSpan w:val="10"/>
            <w:shd w:val="clear" w:color="auto" w:fill="auto"/>
            <w:vAlign w:val="center"/>
          </w:tcPr>
          <w:p w:rsidR="002351C4" w:rsidRPr="00E42587" w:rsidRDefault="002351C4" w:rsidP="00E42587">
            <w:pPr>
              <w:rPr>
                <w:sz w:val="22"/>
                <w:szCs w:val="22"/>
                <w:lang w:val="sr-Cyrl-CS" w:eastAsia="sr-Latn-CS"/>
              </w:rPr>
            </w:pPr>
            <w:bookmarkStart w:id="8" w:name="OLE_LINK4"/>
            <w:r w:rsidRPr="00E42587">
              <w:rPr>
                <w:sz w:val="22"/>
                <w:szCs w:val="22"/>
                <w:lang w:val="sr-Latn-CS" w:eastAsia="sr-Latn-CS"/>
              </w:rPr>
              <w:t xml:space="preserve">Velhner M, </w:t>
            </w:r>
            <w:r w:rsidRPr="00E42587">
              <w:rPr>
                <w:b/>
                <w:sz w:val="22"/>
                <w:szCs w:val="22"/>
                <w:lang w:val="sr-Latn-CS" w:eastAsia="sr-Latn-CS"/>
              </w:rPr>
              <w:t>Kozoderovic G</w:t>
            </w:r>
            <w:r w:rsidRPr="00E42587">
              <w:rPr>
                <w:sz w:val="22"/>
                <w:szCs w:val="22"/>
                <w:lang w:val="sr-Latn-CS" w:eastAsia="sr-Latn-CS"/>
              </w:rPr>
              <w:t xml:space="preserve"> (2014). Clonal spread of Salmonella enterica serovar Infantis in Serbia: Acquisition of mutations in the topoisomerase genes gyrA and parC leads to inscreased resistance to fluoroquinolones. Zoonoses and Public Health; 61(5): 364-370. </w:t>
            </w:r>
            <w:bookmarkEnd w:id="8"/>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М21а</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Cyrl-CS" w:eastAsia="sr-Latn-CS"/>
              </w:rPr>
            </w:pPr>
            <w:r w:rsidRPr="00E42587">
              <w:rPr>
                <w:rFonts w:eastAsia="Times New Roman"/>
                <w:sz w:val="20"/>
                <w:szCs w:val="20"/>
                <w:lang w:val="sr-Cyrl-CS" w:eastAsia="sr-Latn-CS"/>
              </w:rPr>
              <w:t>3.</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b/>
                <w:sz w:val="22"/>
                <w:szCs w:val="22"/>
                <w:lang w:val="sr-Latn-CS" w:eastAsia="sr-Latn-CS"/>
              </w:rPr>
              <w:t>Kozoderović G</w:t>
            </w:r>
            <w:r w:rsidRPr="00E42587">
              <w:rPr>
                <w:sz w:val="22"/>
                <w:szCs w:val="22"/>
                <w:lang w:val="sr-Latn-CS" w:eastAsia="sr-Latn-CS"/>
              </w:rPr>
              <w:t xml:space="preserve">, Velhner M, Jelesić Z, Golić N, Lozo J, Kehrenberg C (2012). Prevalence of quinolone resistance and mutations in the topoisomerase genes in </w:t>
            </w:r>
            <w:r w:rsidRPr="00E42587">
              <w:rPr>
                <w:i/>
                <w:sz w:val="22"/>
                <w:szCs w:val="22"/>
                <w:lang w:val="sr-Latn-CS" w:eastAsia="sr-Latn-CS"/>
              </w:rPr>
              <w:t>Salmonella enterica</w:t>
            </w:r>
            <w:r w:rsidRPr="00E42587">
              <w:rPr>
                <w:sz w:val="22"/>
                <w:szCs w:val="22"/>
                <w:lang w:val="sr-Latn-CS" w:eastAsia="sr-Latn-CS"/>
              </w:rPr>
              <w:t xml:space="preserve"> serotype Enteritidis isolates from Serbia. International Journal of Antimicrobial Agents; 40(5): 455-7.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M21</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Cyrl-CS" w:eastAsia="sr-Latn-CS"/>
              </w:rPr>
            </w:pPr>
            <w:r w:rsidRPr="00E42587">
              <w:rPr>
                <w:rFonts w:eastAsia="Times New Roman"/>
                <w:sz w:val="20"/>
                <w:szCs w:val="20"/>
                <w:lang w:val="sr-Cyrl-CS" w:eastAsia="sr-Latn-CS"/>
              </w:rPr>
              <w:t>4.</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b/>
                <w:sz w:val="22"/>
                <w:szCs w:val="22"/>
                <w:lang w:val="sr-Latn-CS" w:eastAsia="sr-Latn-CS"/>
              </w:rPr>
              <w:t>Kozoderović G</w:t>
            </w:r>
            <w:r w:rsidRPr="00E42587">
              <w:rPr>
                <w:sz w:val="22"/>
                <w:szCs w:val="22"/>
                <w:lang w:val="sr-Latn-CS" w:eastAsia="sr-Latn-CS"/>
              </w:rPr>
              <w:t>, Velhner M, Jelesić Z, Stojanov I, Petrović T, Stojanović D, Golić N. (2011). Molecular typing  and antimicrobial resistance of Salmonella Enteritidis isolated from poultry, food and humans in Serbia. Folia Microbiologica; 56: 66-71.</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M23</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Cyrl-CS" w:eastAsia="sr-Latn-CS"/>
              </w:rPr>
            </w:pPr>
            <w:r w:rsidRPr="00E42587">
              <w:rPr>
                <w:rFonts w:eastAsia="Times New Roman"/>
                <w:sz w:val="20"/>
                <w:szCs w:val="20"/>
                <w:lang w:val="sr-Cyrl-CS" w:eastAsia="sr-Latn-CS"/>
              </w:rPr>
              <w:t>5.</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bCs/>
                <w:iCs/>
                <w:sz w:val="22"/>
                <w:szCs w:val="22"/>
                <w:lang w:val="it-IT" w:eastAsia="sr-Latn-CS"/>
              </w:rPr>
              <w:t>Velhner M, Milanov D,</w:t>
            </w:r>
            <w:r w:rsidRPr="00E42587">
              <w:rPr>
                <w:b/>
                <w:bCs/>
                <w:iCs/>
                <w:sz w:val="22"/>
                <w:szCs w:val="22"/>
                <w:lang w:val="it-IT" w:eastAsia="sr-Latn-CS"/>
              </w:rPr>
              <w:t xml:space="preserve"> Kozoderovic G</w:t>
            </w:r>
            <w:r w:rsidRPr="00E42587">
              <w:rPr>
                <w:bCs/>
                <w:iCs/>
                <w:sz w:val="22"/>
                <w:szCs w:val="22"/>
                <w:lang w:val="it-IT" w:eastAsia="sr-Latn-CS"/>
              </w:rPr>
              <w:t xml:space="preserve">. Salmonella in poultry: a constant challenge and new insights. </w:t>
            </w:r>
            <w:r w:rsidRPr="00E42587">
              <w:rPr>
                <w:sz w:val="22"/>
                <w:szCs w:val="22"/>
                <w:lang w:val="sr-Latn-CS" w:eastAsia="sr-Latn-CS"/>
              </w:rPr>
              <w:t xml:space="preserve">Journal of the Hellenic Veterinary Medical Society 2017; </w:t>
            </w:r>
            <w:r w:rsidRPr="00E42587">
              <w:rPr>
                <w:i/>
                <w:iCs/>
                <w:sz w:val="22"/>
                <w:szCs w:val="22"/>
                <w:lang w:val="sr-Latn-CS" w:eastAsia="sr-Latn-CS"/>
              </w:rPr>
              <w:t>69</w:t>
            </w:r>
            <w:r w:rsidRPr="00E42587">
              <w:rPr>
                <w:sz w:val="22"/>
                <w:szCs w:val="22"/>
                <w:lang w:val="sr-Latn-CS" w:eastAsia="sr-Latn-CS"/>
              </w:rPr>
              <w:t xml:space="preserve">(2): 899-910. </w:t>
            </w:r>
            <w:r w:rsidRPr="00E42587">
              <w:rPr>
                <w:b/>
                <w:sz w:val="22"/>
                <w:szCs w:val="22"/>
                <w:lang w:val="sr-Latn-CS" w:eastAsia="sr-Latn-CS"/>
              </w:rPr>
              <w:t>cor. author</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M23</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6.</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sz w:val="22"/>
                <w:szCs w:val="22"/>
                <w:lang w:val="sr-Latn-CS" w:eastAsia="sr-Latn-CS"/>
              </w:rPr>
              <w:t xml:space="preserve">Suli, T., </w:t>
            </w:r>
            <w:r w:rsidRPr="00E42587">
              <w:rPr>
                <w:b/>
                <w:sz w:val="22"/>
                <w:szCs w:val="22"/>
                <w:lang w:val="sr-Latn-CS" w:eastAsia="sr-Latn-CS"/>
              </w:rPr>
              <w:t>Kozoderovic, G.,</w:t>
            </w:r>
            <w:r w:rsidRPr="00E42587">
              <w:rPr>
                <w:sz w:val="22"/>
                <w:szCs w:val="22"/>
                <w:lang w:val="sr-Latn-CS" w:eastAsia="sr-Latn-CS"/>
              </w:rPr>
              <w:t xml:space="preserve"> Potkonjak, A., Simin, S., Simin, V., Lalošević, V. (2017). Comparison of Conventional and Molecular Diagnostic Techniques for Detection of Blastocystis sp. in pig faeces. Iranian Journal of Parasitology, in press.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M23</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7.</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sz w:val="22"/>
                <w:szCs w:val="22"/>
                <w:lang w:val="sr-Latn-CS" w:eastAsia="sr-Latn-CS"/>
              </w:rPr>
              <w:t xml:space="preserve">Kovačević G, Hrnjaković-Cvjetković I, Milošević V, Jerant-Patić V, Radovanov-Tadić J, </w:t>
            </w:r>
            <w:r w:rsidRPr="00E42587">
              <w:rPr>
                <w:b/>
                <w:sz w:val="22"/>
                <w:szCs w:val="22"/>
                <w:lang w:val="sr-Latn-CS" w:eastAsia="sr-Latn-CS"/>
              </w:rPr>
              <w:t>Kozoderović G.</w:t>
            </w:r>
            <w:r w:rsidRPr="00E42587">
              <w:rPr>
                <w:sz w:val="22"/>
                <w:szCs w:val="22"/>
                <w:lang w:val="sr-Latn-CS" w:eastAsia="sr-Latn-CS"/>
              </w:rPr>
              <w:t xml:space="preserve"> (2008). Significance of screening tests in diagnosis of infectious mononucleosis. Medicinski pregled; 61: 489-496.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M24</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8.</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b/>
                <w:sz w:val="22"/>
                <w:szCs w:val="22"/>
                <w:lang w:val="sr-Latn-CS" w:eastAsia="sr-Latn-CS"/>
              </w:rPr>
              <w:t>Kozoderović G</w:t>
            </w:r>
            <w:r w:rsidRPr="00E42587">
              <w:rPr>
                <w:sz w:val="22"/>
                <w:szCs w:val="22"/>
                <w:lang w:val="sr-Latn-CS" w:eastAsia="sr-Latn-CS"/>
              </w:rPr>
              <w:t xml:space="preserve">, Petrović Graovac D. (2017). Misconceptions about animals – easy to adopt, hard to get rid of. </w:t>
            </w:r>
            <w:r w:rsidRPr="00E42587">
              <w:rPr>
                <w:iCs/>
                <w:sz w:val="22"/>
                <w:szCs w:val="22"/>
                <w:lang w:val="sr-Latn-CS" w:eastAsia="sr-Latn-CS"/>
              </w:rPr>
              <w:t>Challenges of education in the 21</w:t>
            </w:r>
            <w:r w:rsidRPr="00E42587">
              <w:rPr>
                <w:iCs/>
                <w:sz w:val="22"/>
                <w:szCs w:val="22"/>
                <w:vertAlign w:val="superscript"/>
                <w:lang w:val="sr-Latn-CS" w:eastAsia="sr-Latn-CS"/>
              </w:rPr>
              <w:t>st</w:t>
            </w:r>
            <w:r w:rsidRPr="00E42587">
              <w:rPr>
                <w:iCs/>
                <w:sz w:val="22"/>
                <w:szCs w:val="22"/>
                <w:lang w:val="sr-Latn-CS" w:eastAsia="sr-Latn-CS"/>
              </w:rPr>
              <w:t xml:space="preserve"> century (editor: Nataša Branković), Faculty of Education in Sombor 2017: 73-81.</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iCs/>
                <w:sz w:val="20"/>
                <w:szCs w:val="20"/>
                <w:lang w:val="sr-Latn-CS" w:eastAsia="sr-Latn-CS"/>
              </w:rPr>
              <w:t>M31</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9.</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b/>
                <w:sz w:val="22"/>
                <w:szCs w:val="22"/>
                <w:lang w:val="sr-Latn-CS" w:eastAsia="sr-Latn-CS"/>
              </w:rPr>
              <w:t>Kozoderovic G,</w:t>
            </w:r>
            <w:r w:rsidRPr="00E42587">
              <w:rPr>
                <w:sz w:val="22"/>
                <w:szCs w:val="22"/>
                <w:lang w:val="sr-Latn-CS" w:eastAsia="sr-Latn-CS"/>
              </w:rPr>
              <w:t xml:space="preserve"> Velhner M. (2014). Use of Molecular Methods in Infection Control. The 6th EURASIA Congress of Infectious Diseases, 24-27 September 2014, Belgrade, Serbia, Beograd, EACID; 196-198.</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M32</w:t>
            </w:r>
          </w:p>
        </w:tc>
      </w:tr>
      <w:tr w:rsidR="002351C4" w:rsidRPr="00E42587" w:rsidTr="00E42587">
        <w:trPr>
          <w:trHeight w:val="227"/>
        </w:trPr>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10.</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bCs/>
                <w:sz w:val="22"/>
                <w:szCs w:val="22"/>
                <w:lang w:val="sr-Latn-CS" w:eastAsia="sr-Latn-CS"/>
              </w:rPr>
              <w:t>Velhner M.</w:t>
            </w:r>
            <w:r w:rsidRPr="00E42587">
              <w:rPr>
                <w:sz w:val="22"/>
                <w:szCs w:val="22"/>
                <w:lang w:val="sr-Latn-CS" w:eastAsia="sr-Latn-CS"/>
              </w:rPr>
              <w:t xml:space="preserve">, </w:t>
            </w:r>
            <w:r w:rsidRPr="00E42587">
              <w:rPr>
                <w:b/>
                <w:sz w:val="22"/>
                <w:szCs w:val="22"/>
                <w:lang w:val="sr-Latn-CS" w:eastAsia="sr-Latn-CS"/>
              </w:rPr>
              <w:t>Kozoderović G.,</w:t>
            </w:r>
            <w:r w:rsidRPr="00E42587">
              <w:rPr>
                <w:sz w:val="22"/>
                <w:szCs w:val="22"/>
                <w:lang w:val="sr-Latn-CS" w:eastAsia="sr-Latn-CS"/>
              </w:rPr>
              <w:t xml:space="preserve"> Jelesić Z. (</w:t>
            </w:r>
            <w:r w:rsidRPr="00E42587">
              <w:rPr>
                <w:color w:val="000000"/>
                <w:sz w:val="22"/>
                <w:szCs w:val="22"/>
                <w:lang w:val="sr-Latn-CS" w:eastAsia="sr-Latn-CS"/>
              </w:rPr>
              <w:t xml:space="preserve">2015). </w:t>
            </w:r>
            <w:hyperlink r:id="rId6" w:history="1">
              <w:r w:rsidRPr="00E42587">
                <w:rPr>
                  <w:bCs/>
                  <w:sz w:val="22"/>
                  <w:szCs w:val="22"/>
                  <w:lang w:val="sr-Latn-CS" w:eastAsia="sr-Latn-CS"/>
                </w:rPr>
                <w:t>Antibiotic resistance to fluoroqinolones in Salmonella spp.: Recent findings in Serbia and brief overview on epidemiology, molecular typing methods and Salmonella control</w:t>
              </w:r>
            </w:hyperlink>
            <w:r w:rsidRPr="00E42587">
              <w:rPr>
                <w:sz w:val="22"/>
                <w:szCs w:val="22"/>
                <w:lang w:val="sr-Latn-CS" w:eastAsia="sr-Latn-CS"/>
              </w:rPr>
              <w:t>.</w:t>
            </w:r>
            <w:r w:rsidRPr="00E42587">
              <w:rPr>
                <w:color w:val="000000"/>
                <w:sz w:val="22"/>
                <w:szCs w:val="22"/>
                <w:lang w:val="sr-Latn-CS" w:eastAsia="sr-Latn-CS"/>
              </w:rPr>
              <w:t xml:space="preserve"> ISVM2015'One Health - New Challenges', Vrdnik, May 21-23, 2015, ed in chief Tamaš Petrović, Proceedings, , Novi Sad, Scientific Veterinary Institute 'Novi Sad';</w:t>
            </w:r>
            <w:r w:rsidRPr="00E42587">
              <w:rPr>
                <w:b/>
                <w:color w:val="000000"/>
                <w:sz w:val="22"/>
                <w:szCs w:val="22"/>
                <w:lang w:val="sr-Latn-CS" w:eastAsia="sr-Latn-CS"/>
              </w:rPr>
              <w:t xml:space="preserve"> </w:t>
            </w:r>
            <w:r w:rsidRPr="00E42587">
              <w:rPr>
                <w:color w:val="000000"/>
                <w:sz w:val="22"/>
                <w:szCs w:val="22"/>
                <w:lang w:val="sr-Latn-CS" w:eastAsia="sr-Latn-CS"/>
              </w:rPr>
              <w:t>468-472.</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color w:val="000000"/>
                <w:sz w:val="20"/>
                <w:szCs w:val="20"/>
                <w:lang w:val="sr-Latn-CS" w:eastAsia="sr-Latn-CS"/>
              </w:rPr>
              <w:t>M33</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11.</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sz w:val="22"/>
                <w:szCs w:val="22"/>
                <w:lang w:val="sr-Latn-CS" w:eastAsia="sr-Latn-CS"/>
              </w:rPr>
              <w:t xml:space="preserve">Velhner, M., </w:t>
            </w:r>
            <w:r w:rsidRPr="00E42587">
              <w:rPr>
                <w:b/>
                <w:sz w:val="22"/>
                <w:szCs w:val="22"/>
                <w:lang w:val="sr-Latn-CS" w:eastAsia="sr-Latn-CS"/>
              </w:rPr>
              <w:t>Kozoderović</w:t>
            </w:r>
            <w:r w:rsidRPr="00E42587">
              <w:rPr>
                <w:sz w:val="22"/>
                <w:szCs w:val="22"/>
                <w:lang w:val="sr-Latn-CS" w:eastAsia="sr-Latn-CS"/>
              </w:rPr>
              <w:t xml:space="preserve">, G., Milanov, D., Todorović, D., Suvajdžić, L. (2014). World wide spread of salmonella enterica serotypes, harboring different mechanisms of resistance. Proceedings, II Int. congress Food technology, quality and safety [i]XVI Int Symposium Feed Technology, Novi Sad, 18-20.10.2014, editors Tea Brlek, Milica Pojić, Novi Sad; 593-597.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M33</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lastRenderedPageBreak/>
              <w:t>12.</w:t>
            </w:r>
          </w:p>
        </w:tc>
        <w:tc>
          <w:tcPr>
            <w:tcW w:w="8640" w:type="dxa"/>
            <w:gridSpan w:val="10"/>
            <w:shd w:val="clear" w:color="auto" w:fill="auto"/>
            <w:vAlign w:val="center"/>
          </w:tcPr>
          <w:p w:rsidR="002351C4" w:rsidRPr="00E42587" w:rsidRDefault="002351C4" w:rsidP="00E42587">
            <w:pPr>
              <w:rPr>
                <w:sz w:val="22"/>
                <w:szCs w:val="22"/>
                <w:lang w:val="sr-Latn-CS" w:eastAsia="sr-Latn-CS"/>
              </w:rPr>
            </w:pPr>
            <w:r w:rsidRPr="00E42587">
              <w:rPr>
                <w:sz w:val="22"/>
                <w:szCs w:val="22"/>
                <w:lang w:val="sl-SI" w:eastAsia="sr-Latn-CS"/>
              </w:rPr>
              <w:t xml:space="preserve">Lalošević V, Kuruca Lj, Simin S, </w:t>
            </w:r>
            <w:r w:rsidRPr="00E42587">
              <w:rPr>
                <w:b/>
                <w:sz w:val="22"/>
                <w:szCs w:val="22"/>
                <w:lang w:val="sl-SI" w:eastAsia="sr-Latn-CS"/>
              </w:rPr>
              <w:t>Kozoderović G</w:t>
            </w:r>
            <w:r w:rsidRPr="00E42587">
              <w:rPr>
                <w:sz w:val="22"/>
                <w:szCs w:val="22"/>
                <w:lang w:val="sl-SI" w:eastAsia="sr-Latn-CS"/>
              </w:rPr>
              <w:t xml:space="preserve">, Radosavljević B. </w:t>
            </w:r>
            <w:r w:rsidRPr="00E42587">
              <w:rPr>
                <w:sz w:val="22"/>
                <w:szCs w:val="22"/>
                <w:lang w:val="sr-Latn-CS" w:eastAsia="sr-Latn-CS"/>
              </w:rPr>
              <w:t>(</w:t>
            </w:r>
            <w:r w:rsidRPr="00E42587">
              <w:rPr>
                <w:sz w:val="22"/>
                <w:szCs w:val="22"/>
                <w:lang w:val="sl-SI" w:eastAsia="sr-Latn-CS"/>
              </w:rPr>
              <w:t>2012</w:t>
            </w:r>
            <w:r w:rsidRPr="00E42587">
              <w:rPr>
                <w:sz w:val="22"/>
                <w:szCs w:val="22"/>
                <w:lang w:val="sr-Latn-CS" w:eastAsia="sr-Latn-CS"/>
              </w:rPr>
              <w:t xml:space="preserve">). </w:t>
            </w:r>
            <w:r w:rsidRPr="00E42587">
              <w:rPr>
                <w:sz w:val="22"/>
                <w:szCs w:val="22"/>
                <w:lang w:val="sl-SI" w:eastAsia="sr-Latn-CS"/>
              </w:rPr>
              <w:t xml:space="preserve">Bovine cysticercosis in Serbia: is there a need for alternative diagnostic approach? Proceedings of the International Conference Biological Food Safety &amp; Quality, Beograd; 128-129.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l-SI" w:eastAsia="sr-Latn-CS"/>
              </w:rPr>
              <w:t>M33</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13.</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sz w:val="22"/>
                <w:szCs w:val="22"/>
                <w:lang w:val="sr-Latn-CS" w:eastAsia="sr-Latn-CS"/>
              </w:rPr>
              <w:t xml:space="preserve">Bogosavljevic-Šijakov, M., Petrović. D., Krivokućin, I., </w:t>
            </w:r>
            <w:r w:rsidRPr="00E42587">
              <w:rPr>
                <w:b/>
                <w:sz w:val="22"/>
                <w:szCs w:val="22"/>
                <w:lang w:val="sr-Latn-CS" w:eastAsia="sr-Latn-CS"/>
              </w:rPr>
              <w:t>Kozoderović, G.</w:t>
            </w:r>
            <w:r w:rsidRPr="00E42587">
              <w:rPr>
                <w:sz w:val="22"/>
                <w:szCs w:val="22"/>
                <w:lang w:val="sr-Latn-CS" w:eastAsia="sr-Latn-CS"/>
              </w:rPr>
              <w:t xml:space="preserve"> (2014). Undergraduate Student's Misconceptions in Animal Classification. MALT 14, Multidimensional aspects of learning and teaching in science and mathematics education, Faculty of Education in Sombor, University of Novi Sad, Sombor, Serbia Oct 2014: 49-50.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M34</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14.</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sz w:val="22"/>
                <w:szCs w:val="22"/>
                <w:lang w:val="sr-Latn-CS" w:eastAsia="sr-Latn-CS"/>
              </w:rPr>
              <w:t xml:space="preserve">Brankovic, N., Petrovic, D., </w:t>
            </w:r>
            <w:r w:rsidRPr="00E42587">
              <w:rPr>
                <w:b/>
                <w:sz w:val="22"/>
                <w:szCs w:val="22"/>
                <w:lang w:val="sr-Latn-CS" w:eastAsia="sr-Latn-CS"/>
              </w:rPr>
              <w:t>Kozoderovic, G</w:t>
            </w:r>
            <w:r w:rsidRPr="00E42587">
              <w:rPr>
                <w:sz w:val="22"/>
                <w:szCs w:val="22"/>
                <w:lang w:val="sr-Latn-CS" w:eastAsia="sr-Latn-CS"/>
              </w:rPr>
              <w:t xml:space="preserve">. (2017). Sustainable changes and preschool teacher education in Natural Sciences and didactics of primary science teaching. Book of Abstracts, 42nd ATEE Conference 2017: Changing perspectives and approaches in contemporary teaching, Dubrovnik, Croatia, 23-25 October 2017: 278.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M34</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15.</w:t>
            </w:r>
          </w:p>
        </w:tc>
        <w:tc>
          <w:tcPr>
            <w:tcW w:w="8640" w:type="dxa"/>
            <w:gridSpan w:val="10"/>
            <w:shd w:val="clear" w:color="auto" w:fill="auto"/>
            <w:vAlign w:val="center"/>
          </w:tcPr>
          <w:p w:rsidR="002351C4" w:rsidRPr="00E42587" w:rsidRDefault="002351C4" w:rsidP="00E42587">
            <w:pPr>
              <w:rPr>
                <w:sz w:val="22"/>
                <w:szCs w:val="22"/>
                <w:lang w:val="sr-Cyrl-CS" w:eastAsia="sr-Latn-CS"/>
              </w:rPr>
            </w:pPr>
            <w:r w:rsidRPr="00E42587">
              <w:rPr>
                <w:b/>
                <w:sz w:val="22"/>
                <w:szCs w:val="22"/>
                <w:lang w:val="sr-Latn-CS" w:eastAsia="sr-Latn-CS"/>
              </w:rPr>
              <w:t>Kozoderović, G.,</w:t>
            </w:r>
            <w:r w:rsidRPr="00E42587">
              <w:rPr>
                <w:sz w:val="22"/>
                <w:szCs w:val="22"/>
                <w:lang w:val="sr-Latn-CS" w:eastAsia="sr-Latn-CS"/>
              </w:rPr>
              <w:t xml:space="preserve"> Velhner, M., Jelesić, Z., Gusman, V., Golić, N., Lozo, J., Ćosić, G., Petrović, M. (2013).  </w:t>
            </w:r>
            <w:r w:rsidRPr="00E42587">
              <w:rPr>
                <w:i/>
                <w:iCs/>
                <w:sz w:val="22"/>
                <w:szCs w:val="22"/>
                <w:lang w:val="sr-Latn-CS" w:eastAsia="sr-Latn-CS"/>
              </w:rPr>
              <w:t>Salmonella</w:t>
            </w:r>
            <w:r w:rsidRPr="00E42587">
              <w:rPr>
                <w:sz w:val="22"/>
                <w:szCs w:val="22"/>
                <w:lang w:val="sr-Latn-CS" w:eastAsia="sr-Latn-CS"/>
              </w:rPr>
              <w:t xml:space="preserve"> Enteritidis Resistant to Quinolones found in a Biscuit Factory. Аbstract book, FEMS - 5</w:t>
            </w:r>
            <w:r w:rsidRPr="00E42587">
              <w:rPr>
                <w:position w:val="7"/>
                <w:sz w:val="22"/>
                <w:szCs w:val="22"/>
                <w:lang w:val="sr-Latn-CS" w:eastAsia="sr-Latn-CS"/>
              </w:rPr>
              <w:t>th</w:t>
            </w:r>
            <w:r w:rsidRPr="00E42587">
              <w:rPr>
                <w:sz w:val="22"/>
                <w:szCs w:val="22"/>
                <w:lang w:val="sr-Latn-CS" w:eastAsia="sr-Latn-CS"/>
              </w:rPr>
              <w:t xml:space="preserve"> Congress of European Microbiologists, Leipzig, Germany, July 21-25, 2013.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M34</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16.</w:t>
            </w:r>
          </w:p>
        </w:tc>
        <w:tc>
          <w:tcPr>
            <w:tcW w:w="8640" w:type="dxa"/>
            <w:gridSpan w:val="10"/>
            <w:shd w:val="clear" w:color="auto" w:fill="auto"/>
            <w:vAlign w:val="center"/>
          </w:tcPr>
          <w:p w:rsidR="002351C4" w:rsidRPr="00E42587" w:rsidRDefault="002351C4" w:rsidP="00E42587">
            <w:pPr>
              <w:rPr>
                <w:b/>
                <w:sz w:val="22"/>
                <w:szCs w:val="22"/>
                <w:lang w:val="sr-Latn-CS" w:eastAsia="sr-Latn-CS"/>
              </w:rPr>
            </w:pPr>
            <w:r w:rsidRPr="00E42587">
              <w:rPr>
                <w:sz w:val="22"/>
                <w:szCs w:val="22"/>
                <w:lang w:val="sr-Latn-CS" w:eastAsia="sr-Latn-CS"/>
              </w:rPr>
              <w:t xml:space="preserve">Kulauzov M, Mihajlović-Ukropina M, Jelesić Z, Medić D, </w:t>
            </w:r>
            <w:r w:rsidRPr="00E42587">
              <w:rPr>
                <w:b/>
                <w:sz w:val="22"/>
                <w:szCs w:val="22"/>
                <w:lang w:val="sr-Latn-CS" w:eastAsia="sr-Latn-CS"/>
              </w:rPr>
              <w:t>Kozoderović G</w:t>
            </w:r>
            <w:r w:rsidRPr="00E42587">
              <w:rPr>
                <w:sz w:val="22"/>
                <w:szCs w:val="22"/>
                <w:lang w:val="sr-Latn-CS" w:eastAsia="sr-Latn-CS"/>
              </w:rPr>
              <w:t xml:space="preserve">. (2010). Osetljivost bakterija na antimikrobne lekove i interpretacija rezultata. Medicinski pregled; 63: 17-21.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M51</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17.</w:t>
            </w:r>
          </w:p>
        </w:tc>
        <w:tc>
          <w:tcPr>
            <w:tcW w:w="8640" w:type="dxa"/>
            <w:gridSpan w:val="10"/>
            <w:shd w:val="clear" w:color="auto" w:fill="auto"/>
            <w:vAlign w:val="center"/>
          </w:tcPr>
          <w:p w:rsidR="002351C4" w:rsidRPr="00E42587" w:rsidRDefault="002351C4" w:rsidP="00E42587">
            <w:pPr>
              <w:rPr>
                <w:b/>
                <w:sz w:val="22"/>
                <w:szCs w:val="22"/>
                <w:lang w:val="sr-Latn-CS" w:eastAsia="sr-Latn-CS"/>
              </w:rPr>
            </w:pPr>
            <w:r w:rsidRPr="00E42587">
              <w:rPr>
                <w:sz w:val="22"/>
                <w:szCs w:val="22"/>
                <w:lang w:val="sr-Latn-CS" w:eastAsia="sr-Latn-CS"/>
              </w:rPr>
              <w:t xml:space="preserve">Velhner, M., Stojanović, D., Stefan-Mikić, S., </w:t>
            </w:r>
            <w:r w:rsidRPr="00E42587">
              <w:rPr>
                <w:b/>
                <w:sz w:val="22"/>
                <w:szCs w:val="22"/>
                <w:lang w:val="sr-Latn-CS" w:eastAsia="sr-Latn-CS"/>
              </w:rPr>
              <w:t>Kozoderović, G</w:t>
            </w:r>
            <w:r w:rsidRPr="00E42587">
              <w:rPr>
                <w:sz w:val="22"/>
                <w:szCs w:val="22"/>
                <w:lang w:val="sr-Latn-CS" w:eastAsia="sr-Latn-CS"/>
              </w:rPr>
              <w:t>. (2014). Evidence of gyrA - mutations in nalidixic acidresistant Salmonella enterica serotype enteritidis. Bulgarian Journal of Veterinary Medicine, 17 (1): 25-31.</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M51</w:t>
            </w:r>
          </w:p>
        </w:tc>
      </w:tr>
      <w:tr w:rsidR="002351C4" w:rsidRPr="00E42587" w:rsidTr="00E42587">
        <w:tc>
          <w:tcPr>
            <w:tcW w:w="540" w:type="dxa"/>
            <w:vAlign w:val="center"/>
          </w:tcPr>
          <w:p w:rsidR="002351C4" w:rsidRPr="00E42587" w:rsidRDefault="002351C4" w:rsidP="00E42587">
            <w:pPr>
              <w:widowControl w:val="0"/>
              <w:tabs>
                <w:tab w:val="left" w:pos="567"/>
              </w:tabs>
              <w:autoSpaceDE w:val="0"/>
              <w:autoSpaceDN w:val="0"/>
              <w:adjustRightInd w:val="0"/>
              <w:spacing w:line="180" w:lineRule="exact"/>
              <w:rPr>
                <w:rFonts w:eastAsia="Times New Roman"/>
                <w:sz w:val="20"/>
                <w:szCs w:val="20"/>
                <w:lang w:val="sr-Latn-CS" w:eastAsia="sr-Latn-CS"/>
              </w:rPr>
            </w:pPr>
            <w:r w:rsidRPr="00E42587">
              <w:rPr>
                <w:rFonts w:eastAsia="Times New Roman"/>
                <w:sz w:val="20"/>
                <w:szCs w:val="20"/>
                <w:lang w:val="sr-Latn-CS" w:eastAsia="sr-Latn-CS"/>
              </w:rPr>
              <w:t>18.</w:t>
            </w:r>
          </w:p>
        </w:tc>
        <w:tc>
          <w:tcPr>
            <w:tcW w:w="8640" w:type="dxa"/>
            <w:gridSpan w:val="10"/>
            <w:shd w:val="clear" w:color="auto" w:fill="auto"/>
            <w:vAlign w:val="center"/>
          </w:tcPr>
          <w:p w:rsidR="002351C4" w:rsidRPr="00E42587" w:rsidRDefault="002351C4" w:rsidP="00E42587">
            <w:pPr>
              <w:rPr>
                <w:b/>
                <w:sz w:val="22"/>
                <w:szCs w:val="22"/>
                <w:lang w:val="sr-Latn-CS" w:eastAsia="sr-Latn-CS"/>
              </w:rPr>
            </w:pPr>
            <w:r w:rsidRPr="00E42587">
              <w:rPr>
                <w:sz w:val="22"/>
                <w:szCs w:val="22"/>
                <w:lang w:val="sr-Latn-CS" w:eastAsia="sr-Latn-CS"/>
              </w:rPr>
              <w:t xml:space="preserve">Velhner, M., </w:t>
            </w:r>
            <w:r w:rsidRPr="00E42587">
              <w:rPr>
                <w:b/>
                <w:sz w:val="22"/>
                <w:szCs w:val="22"/>
                <w:lang w:val="sr-Latn-CS" w:eastAsia="sr-Latn-CS"/>
              </w:rPr>
              <w:t>Kozoderović, G</w:t>
            </w:r>
            <w:r w:rsidRPr="00E42587">
              <w:rPr>
                <w:sz w:val="22"/>
                <w:szCs w:val="22"/>
                <w:lang w:val="sr-Latn-CS" w:eastAsia="sr-Latn-CS"/>
              </w:rPr>
              <w:t xml:space="preserve">., Kovačević, M., Suvajdžić, Lj., Košarčić, S., Petrović, J., Stojanović, D. (2013). Resistance to Beta-Lactam Antibiotics in Gram-Negative Microorganisms, a Brief Review. Savremena poljoprivreda; 62(3-4) : 301-307. </w:t>
            </w:r>
          </w:p>
        </w:tc>
        <w:tc>
          <w:tcPr>
            <w:tcW w:w="743" w:type="dxa"/>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M51</w:t>
            </w:r>
          </w:p>
        </w:tc>
      </w:tr>
      <w:tr w:rsidR="002351C4" w:rsidRPr="00E42587" w:rsidTr="00CE5358">
        <w:tc>
          <w:tcPr>
            <w:tcW w:w="9923" w:type="dxa"/>
            <w:gridSpan w:val="1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Збирни подаци научне активност наставника</w:t>
            </w:r>
          </w:p>
        </w:tc>
      </w:tr>
      <w:tr w:rsidR="002351C4" w:rsidRPr="00E42587" w:rsidTr="00CE5358">
        <w:tc>
          <w:tcPr>
            <w:tcW w:w="4678"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Укупан број цитата, без аутоцитата</w:t>
            </w:r>
          </w:p>
        </w:tc>
        <w:tc>
          <w:tcPr>
            <w:tcW w:w="5245"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26</w:t>
            </w:r>
          </w:p>
        </w:tc>
      </w:tr>
      <w:tr w:rsidR="002351C4" w:rsidRPr="00E42587" w:rsidTr="00CE5358">
        <w:tc>
          <w:tcPr>
            <w:tcW w:w="4678"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Укупан број радова са SCI (или SSCI) листе</w:t>
            </w:r>
          </w:p>
        </w:tc>
        <w:tc>
          <w:tcPr>
            <w:tcW w:w="5245"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5</w:t>
            </w:r>
          </w:p>
        </w:tc>
      </w:tr>
      <w:tr w:rsidR="002351C4" w:rsidRPr="00E42587" w:rsidTr="00CE5358">
        <w:tc>
          <w:tcPr>
            <w:tcW w:w="4678"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Тренутно учешће на пројектима</w:t>
            </w:r>
          </w:p>
        </w:tc>
        <w:tc>
          <w:tcPr>
            <w:tcW w:w="2334" w:type="dxa"/>
            <w:gridSpan w:val="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Домаћи</w:t>
            </w:r>
            <w:r>
              <w:rPr>
                <w:rFonts w:eastAsia="Times New Roman"/>
                <w:sz w:val="20"/>
                <w:szCs w:val="20"/>
                <w:lang w:val="sr-Cyrl-CS" w:eastAsia="sr-Latn-CS"/>
              </w:rPr>
              <w:t>:</w:t>
            </w:r>
            <w:r w:rsidRPr="00E42587">
              <w:rPr>
                <w:rFonts w:eastAsia="Times New Roman"/>
                <w:sz w:val="20"/>
                <w:szCs w:val="20"/>
                <w:lang w:val="sr-Cyrl-CS" w:eastAsia="sr-Latn-CS"/>
              </w:rPr>
              <w:t xml:space="preserve"> 1</w:t>
            </w:r>
          </w:p>
        </w:tc>
        <w:tc>
          <w:tcPr>
            <w:tcW w:w="2911" w:type="dxa"/>
            <w:gridSpan w:val="4"/>
            <w:vAlign w:val="center"/>
          </w:tcPr>
          <w:p w:rsidR="002351C4" w:rsidRPr="00E42587" w:rsidRDefault="002351C4" w:rsidP="00B85A64">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Међународни</w:t>
            </w:r>
            <w:r>
              <w:rPr>
                <w:rFonts w:eastAsia="Times New Roman"/>
                <w:sz w:val="20"/>
                <w:szCs w:val="20"/>
                <w:lang w:val="sr-Cyrl-CS" w:eastAsia="sr-Latn-CS"/>
              </w:rPr>
              <w:t>:</w:t>
            </w:r>
            <w:r w:rsidRPr="00E42587">
              <w:rPr>
                <w:rFonts w:eastAsia="Times New Roman"/>
                <w:sz w:val="20"/>
                <w:szCs w:val="20"/>
                <w:lang w:val="sr-Cyrl-CS" w:eastAsia="sr-Latn-CS"/>
              </w:rPr>
              <w:t>-</w:t>
            </w:r>
          </w:p>
        </w:tc>
      </w:tr>
      <w:tr w:rsidR="002351C4" w:rsidRPr="00E42587" w:rsidTr="00CE5358">
        <w:tc>
          <w:tcPr>
            <w:tcW w:w="4678"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Усавршавања </w:t>
            </w:r>
          </w:p>
        </w:tc>
        <w:tc>
          <w:tcPr>
            <w:tcW w:w="5245" w:type="dxa"/>
            <w:gridSpan w:val="6"/>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Latn-CS" w:eastAsia="sr-Latn-CS"/>
              </w:rPr>
            </w:pPr>
            <w:r w:rsidRPr="00E42587">
              <w:rPr>
                <w:rFonts w:eastAsia="Times New Roman"/>
                <w:sz w:val="20"/>
                <w:szCs w:val="20"/>
                <w:lang w:val="sr-Cyrl-CS" w:eastAsia="sr-Latn-CS"/>
              </w:rPr>
              <w:t xml:space="preserve">1999 </w:t>
            </w:r>
            <w:proofErr w:type="spellStart"/>
            <w:r w:rsidRPr="00E42587">
              <w:rPr>
                <w:rFonts w:eastAsia="Times New Roman"/>
                <w:sz w:val="20"/>
                <w:szCs w:val="20"/>
                <w:lang w:eastAsia="sr-Latn-CS"/>
              </w:rPr>
              <w:t>Institut</w:t>
            </w:r>
            <w:proofErr w:type="spellEnd"/>
            <w:r w:rsidRPr="00E42587">
              <w:rPr>
                <w:rFonts w:eastAsia="Times New Roman"/>
                <w:sz w:val="20"/>
                <w:szCs w:val="20"/>
                <w:lang w:eastAsia="sr-Latn-CS"/>
              </w:rPr>
              <w:t xml:space="preserve"> Pasteur Paris </w:t>
            </w:r>
            <w:r w:rsidRPr="00E42587">
              <w:rPr>
                <w:rFonts w:eastAsia="Times New Roman"/>
                <w:sz w:val="20"/>
                <w:szCs w:val="20"/>
                <w:lang w:val="sr-Latn-CS" w:eastAsia="sr-Latn-CS"/>
              </w:rPr>
              <w:t xml:space="preserve">– </w:t>
            </w:r>
            <w:proofErr w:type="spellStart"/>
            <w:r w:rsidRPr="00E42587">
              <w:rPr>
                <w:rFonts w:eastAsia="Times New Roman"/>
                <w:sz w:val="20"/>
                <w:szCs w:val="20"/>
                <w:lang w:eastAsia="sr-Latn-CS"/>
              </w:rPr>
              <w:t>стипендиста</w:t>
            </w:r>
            <w:proofErr w:type="spellEnd"/>
            <w:r w:rsidRPr="00E42587">
              <w:rPr>
                <w:rFonts w:eastAsia="Times New Roman"/>
                <w:sz w:val="20"/>
                <w:szCs w:val="20"/>
                <w:lang w:eastAsia="sr-Latn-CS"/>
              </w:rPr>
              <w:t xml:space="preserve"> </w:t>
            </w:r>
            <w:r w:rsidRPr="00E42587">
              <w:rPr>
                <w:rFonts w:eastAsia="Times New Roman"/>
                <w:sz w:val="20"/>
                <w:szCs w:val="20"/>
                <w:lang w:val="sr-Latn-CS" w:eastAsia="sr-Latn-CS"/>
              </w:rPr>
              <w:t>FEMS</w:t>
            </w:r>
          </w:p>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Latn-CS" w:eastAsia="sr-Latn-CS"/>
              </w:rPr>
            </w:pPr>
            <w:r w:rsidRPr="00E42587">
              <w:rPr>
                <w:rFonts w:eastAsia="Times New Roman"/>
                <w:sz w:val="20"/>
                <w:szCs w:val="20"/>
                <w:lang w:val="sr-Latn-CS" w:eastAsia="sr-Latn-CS"/>
              </w:rPr>
              <w:t>2007 University Colledge London – семинар и радионица</w:t>
            </w:r>
          </w:p>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Latn-CS" w:eastAsia="sr-Latn-CS"/>
              </w:rPr>
            </w:pPr>
            <w:r w:rsidRPr="00E42587">
              <w:rPr>
                <w:rFonts w:eastAsia="Times New Roman"/>
                <w:sz w:val="20"/>
                <w:szCs w:val="20"/>
                <w:lang w:val="sr-Latn-CS" w:eastAsia="sr-Latn-CS"/>
              </w:rPr>
              <w:t>2007 Институт Руђер Бошковић Загреб – семинар и радионица</w:t>
            </w:r>
          </w:p>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Latn-CS" w:eastAsia="sr-Latn-CS"/>
              </w:rPr>
            </w:pPr>
            <w:r w:rsidRPr="00E42587">
              <w:rPr>
                <w:rFonts w:eastAsia="Times New Roman"/>
                <w:sz w:val="20"/>
                <w:szCs w:val="20"/>
                <w:lang w:val="sr-Latn-CS" w:eastAsia="sr-Latn-CS"/>
              </w:rPr>
              <w:t>2013 Педагошки факултет у Сомбору –  “Using the experimental boxes in science teaching” семинар у оквиру TEMPUS пројекта</w:t>
            </w:r>
          </w:p>
        </w:tc>
      </w:tr>
      <w:tr w:rsidR="002351C4" w:rsidRPr="00E42587" w:rsidTr="00CE5358">
        <w:tc>
          <w:tcPr>
            <w:tcW w:w="9923" w:type="dxa"/>
            <w:gridSpan w:val="12"/>
            <w:vAlign w:val="center"/>
          </w:tcPr>
          <w:p w:rsidR="002351C4" w:rsidRPr="00E42587" w:rsidRDefault="002351C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Други подаци које сматрате релевантним</w:t>
            </w:r>
          </w:p>
        </w:tc>
      </w:tr>
      <w:tr w:rsidR="002351C4" w:rsidRPr="00E42587" w:rsidTr="009625A2">
        <w:tc>
          <w:tcPr>
            <w:tcW w:w="9923" w:type="dxa"/>
            <w:gridSpan w:val="12"/>
            <w:vAlign w:val="center"/>
          </w:tcPr>
          <w:p w:rsidR="002351C4" w:rsidRPr="00E42587" w:rsidRDefault="002351C4" w:rsidP="009625A2">
            <w:pPr>
              <w:widowControl w:val="0"/>
              <w:tabs>
                <w:tab w:val="left" w:pos="567"/>
              </w:tabs>
              <w:autoSpaceDE w:val="0"/>
              <w:autoSpaceDN w:val="0"/>
              <w:adjustRightInd w:val="0"/>
              <w:spacing w:after="60"/>
              <w:jc w:val="right"/>
              <w:rPr>
                <w:rFonts w:eastAsia="Times New Roman"/>
                <w:sz w:val="20"/>
                <w:szCs w:val="20"/>
                <w:lang w:val="sr-Cyrl-CS" w:eastAsia="sr-Latn-CS"/>
              </w:rPr>
            </w:pPr>
            <w:r>
              <w:rPr>
                <w:rFonts w:eastAsia="Times New Roman"/>
                <w:sz w:val="20"/>
                <w:szCs w:val="20"/>
                <w:lang w:val="sr-Cyrl-C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p w:rsidR="00E42587" w:rsidRDefault="00E42587" w:rsidP="00E36EE2">
      <w:pPr>
        <w:rPr>
          <w:sz w:val="20"/>
          <w:szCs w:val="20"/>
          <w:lang w:val="sr-Cyrl-R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7"/>
        <w:gridCol w:w="1530"/>
        <w:gridCol w:w="990"/>
        <w:gridCol w:w="769"/>
        <w:gridCol w:w="849"/>
        <w:gridCol w:w="1856"/>
        <w:gridCol w:w="396"/>
        <w:gridCol w:w="82"/>
        <w:gridCol w:w="1210"/>
        <w:gridCol w:w="958"/>
        <w:gridCol w:w="743"/>
      </w:tblGrid>
      <w:tr w:rsidR="00E42587" w:rsidRPr="00E42587" w:rsidTr="00B85A64">
        <w:trPr>
          <w:trHeight w:val="227"/>
        </w:trPr>
        <w:tc>
          <w:tcPr>
            <w:tcW w:w="3060" w:type="dxa"/>
            <w:gridSpan w:val="4"/>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lastRenderedPageBreak/>
              <w:t>Име и презиме</w:t>
            </w:r>
          </w:p>
        </w:tc>
        <w:tc>
          <w:tcPr>
            <w:tcW w:w="6863" w:type="dxa"/>
            <w:gridSpan w:val="8"/>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Данијела Петровић </w:t>
            </w:r>
            <w:bookmarkStart w:id="9" w:name="Граовац"/>
            <w:r w:rsidRPr="00E42587">
              <w:rPr>
                <w:rFonts w:eastAsia="Times New Roman"/>
                <w:sz w:val="20"/>
                <w:szCs w:val="20"/>
                <w:lang w:val="sr-Cyrl-CS" w:eastAsia="sr-Latn-CS"/>
              </w:rPr>
              <w:t>Граовац</w:t>
            </w:r>
            <w:bookmarkEnd w:id="9"/>
          </w:p>
        </w:tc>
      </w:tr>
      <w:tr w:rsidR="00E42587" w:rsidRPr="00E42587" w:rsidTr="00B85A64">
        <w:trPr>
          <w:trHeight w:val="227"/>
        </w:trPr>
        <w:tc>
          <w:tcPr>
            <w:tcW w:w="3060" w:type="dxa"/>
            <w:gridSpan w:val="4"/>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Звање</w:t>
            </w:r>
          </w:p>
        </w:tc>
        <w:tc>
          <w:tcPr>
            <w:tcW w:w="6863" w:type="dxa"/>
            <w:gridSpan w:val="8"/>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Ванредни професор</w:t>
            </w:r>
          </w:p>
        </w:tc>
      </w:tr>
      <w:tr w:rsidR="00E42587" w:rsidRPr="00E42587" w:rsidTr="00B85A64">
        <w:trPr>
          <w:trHeight w:val="227"/>
        </w:trPr>
        <w:tc>
          <w:tcPr>
            <w:tcW w:w="3060" w:type="dxa"/>
            <w:gridSpan w:val="4"/>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Ужа научна област</w:t>
            </w:r>
          </w:p>
        </w:tc>
        <w:tc>
          <w:tcPr>
            <w:tcW w:w="6863" w:type="dxa"/>
            <w:gridSpan w:val="8"/>
            <w:vAlign w:val="center"/>
          </w:tcPr>
          <w:p w:rsidR="00E42587" w:rsidRPr="00E42587" w:rsidRDefault="00E42587"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Природне науке</w:t>
            </w:r>
          </w:p>
        </w:tc>
      </w:tr>
      <w:tr w:rsidR="00914094" w:rsidRPr="00E42587" w:rsidTr="00B85A64">
        <w:trPr>
          <w:trHeight w:val="227"/>
        </w:trPr>
        <w:tc>
          <w:tcPr>
            <w:tcW w:w="2070"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Академска каријера</w:t>
            </w:r>
          </w:p>
        </w:tc>
        <w:tc>
          <w:tcPr>
            <w:tcW w:w="990"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Година </w:t>
            </w:r>
          </w:p>
        </w:tc>
        <w:tc>
          <w:tcPr>
            <w:tcW w:w="3870"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Институција </w:t>
            </w:r>
          </w:p>
        </w:tc>
        <w:tc>
          <w:tcPr>
            <w:tcW w:w="2993" w:type="dxa"/>
            <w:gridSpan w:val="4"/>
            <w:vAlign w:val="center"/>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914094" w:rsidRPr="00E42587" w:rsidTr="00B85A64">
        <w:trPr>
          <w:trHeight w:val="227"/>
        </w:trPr>
        <w:tc>
          <w:tcPr>
            <w:tcW w:w="2070"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Избор у звање</w:t>
            </w:r>
          </w:p>
        </w:tc>
        <w:tc>
          <w:tcPr>
            <w:tcW w:w="990"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201</w:t>
            </w:r>
            <w:r w:rsidRPr="00E42587">
              <w:rPr>
                <w:rFonts w:eastAsia="Times New Roman"/>
                <w:sz w:val="20"/>
                <w:szCs w:val="20"/>
                <w:lang w:val="sr-Latn-CS" w:eastAsia="sr-Latn-CS"/>
              </w:rPr>
              <w:t>5.</w:t>
            </w:r>
          </w:p>
        </w:tc>
        <w:tc>
          <w:tcPr>
            <w:tcW w:w="3870"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Педагошки факултет Сомбор, Универзитет у Новом Саду, Србија</w:t>
            </w:r>
          </w:p>
        </w:tc>
        <w:tc>
          <w:tcPr>
            <w:tcW w:w="2993"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Природне науке - биологија</w:t>
            </w:r>
          </w:p>
        </w:tc>
      </w:tr>
      <w:tr w:rsidR="00914094" w:rsidRPr="00E42587" w:rsidTr="00B85A64">
        <w:trPr>
          <w:trHeight w:val="227"/>
        </w:trPr>
        <w:tc>
          <w:tcPr>
            <w:tcW w:w="2070"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Докторат</w:t>
            </w:r>
          </w:p>
        </w:tc>
        <w:tc>
          <w:tcPr>
            <w:tcW w:w="990"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2009.</w:t>
            </w:r>
          </w:p>
        </w:tc>
        <w:tc>
          <w:tcPr>
            <w:tcW w:w="3870"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Latn-CS" w:eastAsia="sr-Latn-CS"/>
              </w:rPr>
              <w:t>School of Medicine, Trinity College Dublin,</w:t>
            </w:r>
            <w:r w:rsidRPr="00E42587">
              <w:rPr>
                <w:rFonts w:eastAsia="Times New Roman"/>
                <w:sz w:val="20"/>
                <w:szCs w:val="20"/>
                <w:lang w:val="sr-Cyrl-CS" w:eastAsia="sr-Latn-CS"/>
              </w:rPr>
              <w:t xml:space="preserve"> </w:t>
            </w:r>
            <w:r w:rsidRPr="00E42587">
              <w:rPr>
                <w:rFonts w:eastAsia="Times New Roman"/>
                <w:sz w:val="20"/>
                <w:szCs w:val="20"/>
                <w:lang w:val="sr-Latn-CS" w:eastAsia="sr-Latn-CS"/>
              </w:rPr>
              <w:t>Republic of Ireland</w:t>
            </w:r>
          </w:p>
        </w:tc>
        <w:tc>
          <w:tcPr>
            <w:tcW w:w="2993"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Молекуларна медицина - имунобиологија</w:t>
            </w:r>
          </w:p>
        </w:tc>
      </w:tr>
      <w:tr w:rsidR="00914094" w:rsidRPr="00E42587" w:rsidTr="00B85A64">
        <w:trPr>
          <w:trHeight w:val="227"/>
        </w:trPr>
        <w:tc>
          <w:tcPr>
            <w:tcW w:w="2070"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Диплома</w:t>
            </w:r>
          </w:p>
        </w:tc>
        <w:tc>
          <w:tcPr>
            <w:tcW w:w="990"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1998.</w:t>
            </w:r>
          </w:p>
        </w:tc>
        <w:tc>
          <w:tcPr>
            <w:tcW w:w="3870"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Биолошки факултет, Универзитет у Београду, Србија</w:t>
            </w:r>
          </w:p>
        </w:tc>
        <w:tc>
          <w:tcPr>
            <w:tcW w:w="2993"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Молекуларна биологија и физиологија, смер Експериментална биомедицина</w:t>
            </w:r>
          </w:p>
        </w:tc>
      </w:tr>
      <w:tr w:rsidR="00914094" w:rsidRPr="00E42587" w:rsidTr="00CE5358">
        <w:trPr>
          <w:trHeight w:val="227"/>
        </w:trPr>
        <w:tc>
          <w:tcPr>
            <w:tcW w:w="9923" w:type="dxa"/>
            <w:gridSpan w:val="12"/>
            <w:vAlign w:val="center"/>
          </w:tcPr>
          <w:p w:rsidR="00914094" w:rsidRPr="004B0977" w:rsidRDefault="00914094" w:rsidP="002B42F1">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b/>
                <w:sz w:val="20"/>
                <w:szCs w:val="20"/>
                <w:lang w:val="sr-Cyrl-CS" w:eastAsia="sr-Latn-CS"/>
              </w:rPr>
              <w:t>Списак дисертација-д</w:t>
            </w:r>
            <w:r>
              <w:rPr>
                <w:rFonts w:eastAsia="Times New Roman"/>
                <w:b/>
                <w:sz w:val="20"/>
                <w:szCs w:val="20"/>
                <w:lang w:val="sr-Cyrl-CS" w:eastAsia="sr-Latn-CS"/>
              </w:rPr>
              <w:t>окторских уметничких пројеката</w:t>
            </w:r>
            <w:r w:rsidRPr="007047C2">
              <w:rPr>
                <w:rFonts w:eastAsia="Times New Roman"/>
                <w:b/>
                <w:sz w:val="20"/>
                <w:szCs w:val="20"/>
                <w:lang w:val="sr-Cyrl-CS" w:eastAsia="sr-Latn-CS"/>
              </w:rPr>
              <w:t xml:space="preserve"> у којима је наставн</w:t>
            </w:r>
            <w:r>
              <w:rPr>
                <w:rFonts w:eastAsia="Times New Roman"/>
                <w:b/>
                <w:sz w:val="20"/>
                <w:szCs w:val="20"/>
                <w:lang w:val="sr-Cyrl-RS" w:eastAsia="sr-Latn-CS"/>
              </w:rPr>
              <w:t>и</w:t>
            </w:r>
            <w:r w:rsidRPr="007047C2">
              <w:rPr>
                <w:rFonts w:eastAsia="Times New Roman"/>
                <w:b/>
                <w:sz w:val="20"/>
                <w:szCs w:val="20"/>
                <w:lang w:val="sr-Cyrl-CS" w:eastAsia="sr-Latn-CS"/>
              </w:rPr>
              <w:t>к ментор или је био ментор у претходних 10 година</w:t>
            </w:r>
          </w:p>
        </w:tc>
      </w:tr>
      <w:tr w:rsidR="00914094" w:rsidRPr="00E42587" w:rsidTr="00CE5358">
        <w:trPr>
          <w:trHeight w:val="227"/>
        </w:trPr>
        <w:tc>
          <w:tcPr>
            <w:tcW w:w="51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Р.Б.</w:t>
            </w:r>
          </w:p>
        </w:tc>
        <w:tc>
          <w:tcPr>
            <w:tcW w:w="3316"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Наслов дисертације</w:t>
            </w:r>
          </w:p>
        </w:tc>
        <w:tc>
          <w:tcPr>
            <w:tcW w:w="2705"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Име кандидата</w:t>
            </w:r>
          </w:p>
        </w:tc>
        <w:tc>
          <w:tcPr>
            <w:tcW w:w="1688"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xml:space="preserve">*пријављена </w:t>
            </w:r>
          </w:p>
        </w:tc>
        <w:tc>
          <w:tcPr>
            <w:tcW w:w="1701"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 одбрањена</w:t>
            </w:r>
          </w:p>
        </w:tc>
      </w:tr>
      <w:tr w:rsidR="00914094" w:rsidRPr="00E42587" w:rsidTr="00CE5358">
        <w:trPr>
          <w:trHeight w:val="227"/>
        </w:trPr>
        <w:tc>
          <w:tcPr>
            <w:tcW w:w="51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3316" w:type="dxa"/>
            <w:gridSpan w:val="4"/>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2705" w:type="dxa"/>
            <w:gridSpan w:val="2"/>
            <w:vAlign w:val="center"/>
          </w:tcPr>
          <w:p w:rsidR="00914094" w:rsidRPr="0055518D" w:rsidRDefault="00914094" w:rsidP="00E42587">
            <w:pPr>
              <w:widowControl w:val="0"/>
              <w:tabs>
                <w:tab w:val="left" w:pos="567"/>
              </w:tabs>
              <w:autoSpaceDE w:val="0"/>
              <w:autoSpaceDN w:val="0"/>
              <w:adjustRightInd w:val="0"/>
              <w:spacing w:after="60"/>
              <w:rPr>
                <w:rFonts w:eastAsia="Times New Roman"/>
                <w:sz w:val="20"/>
                <w:szCs w:val="20"/>
                <w:lang w:eastAsia="sr-Latn-CS"/>
              </w:rPr>
            </w:pPr>
          </w:p>
        </w:tc>
        <w:tc>
          <w:tcPr>
            <w:tcW w:w="1688"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p>
        </w:tc>
        <w:tc>
          <w:tcPr>
            <w:tcW w:w="1701"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p>
        </w:tc>
      </w:tr>
      <w:tr w:rsidR="00914094" w:rsidRPr="002B42F1" w:rsidTr="00CE5358">
        <w:trPr>
          <w:trHeight w:val="227"/>
        </w:trPr>
        <w:tc>
          <w:tcPr>
            <w:tcW w:w="9923" w:type="dxa"/>
            <w:gridSpan w:val="12"/>
            <w:vAlign w:val="center"/>
          </w:tcPr>
          <w:p w:rsidR="00914094" w:rsidRPr="002B42F1" w:rsidRDefault="00914094" w:rsidP="00E42587">
            <w:pPr>
              <w:widowControl w:val="0"/>
              <w:tabs>
                <w:tab w:val="left" w:pos="567"/>
              </w:tabs>
              <w:autoSpaceDE w:val="0"/>
              <w:autoSpaceDN w:val="0"/>
              <w:adjustRightInd w:val="0"/>
              <w:spacing w:after="60"/>
              <w:rPr>
                <w:rFonts w:eastAsia="Times New Roman"/>
                <w:sz w:val="16"/>
                <w:szCs w:val="16"/>
                <w:lang w:val="sr-Cyrl-CS" w:eastAsia="sr-Latn-CS"/>
              </w:rPr>
            </w:pPr>
            <w:r w:rsidRPr="002B42F1">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914094" w:rsidRPr="00B85A64" w:rsidTr="00CE5358">
        <w:trPr>
          <w:trHeight w:val="227"/>
        </w:trPr>
        <w:tc>
          <w:tcPr>
            <w:tcW w:w="9923" w:type="dxa"/>
            <w:gridSpan w:val="12"/>
            <w:vAlign w:val="center"/>
          </w:tcPr>
          <w:p w:rsidR="00914094" w:rsidRPr="00B85A64" w:rsidRDefault="00914094" w:rsidP="002B42F1">
            <w:pPr>
              <w:widowControl w:val="0"/>
              <w:tabs>
                <w:tab w:val="left" w:pos="567"/>
              </w:tabs>
              <w:autoSpaceDE w:val="0"/>
              <w:autoSpaceDN w:val="0"/>
              <w:adjustRightInd w:val="0"/>
              <w:spacing w:after="60"/>
              <w:rPr>
                <w:rFonts w:eastAsia="Times New Roman"/>
                <w:b/>
                <w:sz w:val="16"/>
                <w:szCs w:val="16"/>
                <w:lang w:val="sr-Latn-CS" w:eastAsia="sr-Latn-CS"/>
              </w:rPr>
            </w:pPr>
            <w:r w:rsidRPr="00B85A6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914094" w:rsidRPr="00B85A64" w:rsidRDefault="00914094" w:rsidP="002B42F1">
            <w:pPr>
              <w:widowControl w:val="0"/>
              <w:tabs>
                <w:tab w:val="left" w:pos="567"/>
              </w:tabs>
              <w:autoSpaceDE w:val="0"/>
              <w:autoSpaceDN w:val="0"/>
              <w:adjustRightInd w:val="0"/>
              <w:spacing w:after="60"/>
              <w:rPr>
                <w:rFonts w:eastAsia="Times New Roman"/>
                <w:b/>
                <w:sz w:val="16"/>
                <w:szCs w:val="16"/>
                <w:lang w:val="sr-Cyrl-CS" w:eastAsia="sr-Latn-CS"/>
              </w:rPr>
            </w:pPr>
            <w:r w:rsidRPr="00B85A6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1.</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i/>
                <w:sz w:val="18"/>
                <w:szCs w:val="18"/>
                <w:lang w:val="en-GB" w:eastAsia="sr-Latn-CS"/>
              </w:rPr>
              <w:t>‘</w:t>
            </w:r>
            <w:r w:rsidRPr="00E42587">
              <w:rPr>
                <w:rFonts w:eastAsia="Times New Roman"/>
                <w:i/>
                <w:sz w:val="18"/>
                <w:szCs w:val="18"/>
                <w:lang w:val="sr-Latn-CS" w:eastAsia="sr-Latn-CS"/>
              </w:rPr>
              <w:t>Nanoformulations of doxorubicin-how far have we come and where do we go from here?</w:t>
            </w:r>
            <w:r w:rsidRPr="00E42587">
              <w:rPr>
                <w:rFonts w:eastAsia="Times New Roman"/>
                <w:i/>
                <w:sz w:val="18"/>
                <w:szCs w:val="18"/>
                <w:lang w:val="en-GB" w:eastAsia="sr-Latn-CS"/>
              </w:rPr>
              <w:t xml:space="preserve"> ‘. </w:t>
            </w:r>
            <w:r w:rsidRPr="00E42587">
              <w:rPr>
                <w:rFonts w:eastAsia="Times New Roman"/>
                <w:sz w:val="18"/>
                <w:szCs w:val="18"/>
                <w:lang w:val="sr-Latn-CS" w:eastAsia="sr-Latn-CS"/>
              </w:rPr>
              <w:t xml:space="preserve">Borisev I., Mrdjanovic J., Petrovic D., Seke M., Jovic D., Srdjenovic </w:t>
            </w:r>
            <w:r w:rsidR="00805E54">
              <w:rPr>
                <w:rFonts w:eastAsia="Times New Roman"/>
                <w:sz w:val="18"/>
                <w:szCs w:val="18"/>
                <w:lang w:val="sr-Latn-CS" w:eastAsia="sr-Latn-CS"/>
              </w:rPr>
              <w:fldChar w:fldCharType="begin"/>
            </w:r>
            <w:r w:rsidR="00805E54">
              <w:rPr>
                <w:rFonts w:eastAsia="Times New Roman"/>
                <w:sz w:val="18"/>
                <w:szCs w:val="18"/>
                <w:lang w:val="sr-Latn-CS" w:eastAsia="sr-Latn-CS"/>
              </w:rPr>
              <w:instrText xml:space="preserve"> HYPERLINK "https://www.researchgate.net/researcher/53842381_Branislava_Srdjenovic" </w:instrText>
            </w:r>
            <w:r w:rsidR="00805E54">
              <w:rPr>
                <w:rFonts w:eastAsia="Times New Roman"/>
                <w:sz w:val="18"/>
                <w:szCs w:val="18"/>
                <w:lang w:val="sr-Latn-CS" w:eastAsia="sr-Latn-CS"/>
              </w:rPr>
              <w:fldChar w:fldCharType="separate"/>
            </w:r>
            <w:r w:rsidRPr="00E42587">
              <w:rPr>
                <w:rFonts w:eastAsia="Times New Roman"/>
                <w:sz w:val="18"/>
                <w:szCs w:val="18"/>
                <w:lang w:val="sr-Latn-CS" w:eastAsia="sr-Latn-CS"/>
              </w:rPr>
              <w:t>B</w:t>
            </w:r>
            <w:r w:rsidR="00805E54">
              <w:rPr>
                <w:rFonts w:eastAsia="Times New Roman"/>
                <w:sz w:val="18"/>
                <w:szCs w:val="18"/>
                <w:lang w:val="sr-Latn-CS" w:eastAsia="sr-Latn-CS"/>
              </w:rPr>
              <w:fldChar w:fldCharType="end"/>
            </w:r>
            <w:r w:rsidRPr="00E42587">
              <w:rPr>
                <w:rFonts w:eastAsia="Times New Roman"/>
                <w:sz w:val="18"/>
                <w:szCs w:val="18"/>
                <w:lang w:val="sr-Latn-CS" w:eastAsia="sr-Latn-CS"/>
              </w:rPr>
              <w:t xml:space="preserve">., Latinovic N., Djordjevic A. </w:t>
            </w:r>
            <w:r w:rsidR="00805E54">
              <w:rPr>
                <w:rFonts w:eastAsia="Times New Roman"/>
                <w:sz w:val="18"/>
                <w:szCs w:val="18"/>
                <w:lang w:val="sr-Latn-CS" w:eastAsia="sr-Latn-CS"/>
              </w:rPr>
              <w:fldChar w:fldCharType="begin"/>
            </w:r>
            <w:r w:rsidR="00805E54">
              <w:rPr>
                <w:rFonts w:eastAsia="Times New Roman"/>
                <w:sz w:val="18"/>
                <w:szCs w:val="18"/>
                <w:lang w:val="sr-Latn-CS" w:eastAsia="sr-Latn-CS"/>
              </w:rPr>
              <w:instrText xml:space="preserve"> HYPERLINK "https://www.ncbi.nlm.nih.gov/pubmed/29798934" \o "Nanotechnology." </w:instrText>
            </w:r>
            <w:r w:rsidR="00805E54">
              <w:rPr>
                <w:rFonts w:eastAsia="Times New Roman"/>
                <w:sz w:val="18"/>
                <w:szCs w:val="18"/>
                <w:lang w:val="sr-Latn-CS" w:eastAsia="sr-Latn-CS"/>
              </w:rPr>
              <w:fldChar w:fldCharType="separate"/>
            </w:r>
            <w:r w:rsidRPr="00E42587">
              <w:rPr>
                <w:rFonts w:eastAsia="Times New Roman"/>
                <w:sz w:val="18"/>
                <w:szCs w:val="18"/>
                <w:lang w:val="sr-Latn-CS" w:eastAsia="sr-Latn-CS"/>
              </w:rPr>
              <w:t>Nanotechnology</w:t>
            </w:r>
            <w:r w:rsidRPr="00E42587">
              <w:rPr>
                <w:rFonts w:eastAsia="Times New Roman"/>
                <w:color w:val="0000FF"/>
                <w:sz w:val="18"/>
                <w:szCs w:val="18"/>
                <w:u w:val="single"/>
                <w:lang w:val="sr-Latn-CS" w:eastAsia="sr-Latn-CS"/>
              </w:rPr>
              <w:t>.</w:t>
            </w:r>
            <w:r w:rsidR="00805E54">
              <w:rPr>
                <w:rFonts w:eastAsia="Times New Roman"/>
                <w:color w:val="0000FF"/>
                <w:sz w:val="18"/>
                <w:szCs w:val="18"/>
                <w:u w:val="single"/>
                <w:lang w:val="sr-Latn-CS" w:eastAsia="sr-Latn-CS"/>
              </w:rPr>
              <w:fldChar w:fldCharType="end"/>
            </w:r>
            <w:r w:rsidRPr="00E42587">
              <w:rPr>
                <w:rFonts w:eastAsia="Times New Roman"/>
                <w:sz w:val="18"/>
                <w:szCs w:val="18"/>
                <w:lang w:val="sr-Latn-CS" w:eastAsia="sr-Latn-CS"/>
              </w:rPr>
              <w:t xml:space="preserve"> 2018 May 25. doi: 10.1088/1361-6528/aac7dd. </w:t>
            </w:r>
            <w:r w:rsidRPr="00E42587">
              <w:rPr>
                <w:rFonts w:eastAsia="Times New Roman"/>
                <w:sz w:val="18"/>
                <w:szCs w:val="18"/>
                <w:lang w:eastAsia="sr-Latn-CS"/>
              </w:rPr>
              <w:t xml:space="preserve">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sr-Cyrl-CS" w:eastAsia="sr-Latn-CS"/>
              </w:rPr>
              <w:t>М</w:t>
            </w:r>
            <w:r w:rsidRPr="00E42587">
              <w:rPr>
                <w:rFonts w:eastAsia="Times New Roman"/>
                <w:sz w:val="20"/>
                <w:szCs w:val="20"/>
                <w:lang w:val="en-IE" w:eastAsia="sr-Latn-CS"/>
              </w:rPr>
              <w:t>21</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2.</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i/>
                <w:sz w:val="18"/>
                <w:szCs w:val="18"/>
                <w:lang w:val="en-GB" w:eastAsia="sr-Latn-CS"/>
              </w:rPr>
              <w:t>‘</w:t>
            </w:r>
            <w:r w:rsidRPr="00E42587">
              <w:rPr>
                <w:rFonts w:eastAsia="Times New Roman"/>
                <w:i/>
                <w:sz w:val="18"/>
                <w:szCs w:val="18"/>
                <w:lang w:val="sr-Latn-CS" w:eastAsia="sr-Latn-CS"/>
              </w:rPr>
              <w:t>Hepatoprotective effect of fullerenol/doxorubicin nanocomposite in acute treatment of healthy rats</w:t>
            </w:r>
            <w:r w:rsidRPr="00E42587">
              <w:rPr>
                <w:rFonts w:eastAsia="Times New Roman"/>
                <w:i/>
                <w:sz w:val="18"/>
                <w:szCs w:val="18"/>
                <w:lang w:val="en-GB" w:eastAsia="sr-Latn-CS"/>
              </w:rPr>
              <w:t>‘</w:t>
            </w:r>
            <w:r w:rsidRPr="00E42587">
              <w:rPr>
                <w:rFonts w:eastAsia="Times New Roman"/>
                <w:i/>
                <w:sz w:val="18"/>
                <w:szCs w:val="18"/>
                <w:lang w:val="sr-Latn-CS" w:eastAsia="sr-Latn-CS"/>
              </w:rPr>
              <w:t xml:space="preserve">. </w:t>
            </w:r>
            <w:r w:rsidRPr="00E42587">
              <w:rPr>
                <w:rFonts w:eastAsia="Times New Roman"/>
                <w:color w:val="000000"/>
                <w:sz w:val="18"/>
                <w:szCs w:val="18"/>
                <w:lang w:val="sr-Latn-CS" w:eastAsia="sr-Latn-CS"/>
              </w:rPr>
              <w:t>D. Petrovic, M. Seke, M. Labudovic Borovic, D. Jovic, I.Borisev, B. Srdjenovic, Z. Rakocevic, V. Pavlovic, A. Djordjevic.</w:t>
            </w:r>
            <w:r w:rsidRPr="00E42587">
              <w:rPr>
                <w:rFonts w:eastAsia="Times New Roman"/>
                <w:sz w:val="18"/>
                <w:szCs w:val="18"/>
                <w:lang w:val="sr-Latn-CS" w:eastAsia="sr-Latn-CS"/>
              </w:rPr>
              <w:t xml:space="preserve"> Experimental and Molecular Pathology, 2018 Jun;104(3):199-211. doi: 10.1016/j.yexmp.2018.04.005.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M22</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3.</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ga-IE" w:eastAsia="sr-Latn-CS"/>
              </w:rPr>
              <w:t>‘</w:t>
            </w:r>
            <w:r w:rsidRPr="00E42587">
              <w:rPr>
                <w:rFonts w:eastAsia="Times New Roman"/>
                <w:b/>
                <w:sz w:val="18"/>
                <w:szCs w:val="18"/>
                <w:lang w:val="sr-Latn-CS" w:eastAsia="sr-Latn-CS"/>
              </w:rPr>
              <w:t>Fullerenol/doxorubicin nanocomposite mitigates acute oxidative stress and modulates apoptosis in myocardial tissue</w:t>
            </w:r>
            <w:r w:rsidRPr="00E42587">
              <w:rPr>
                <w:rFonts w:eastAsia="Times New Roman"/>
                <w:b/>
                <w:i/>
                <w:sz w:val="18"/>
                <w:szCs w:val="18"/>
                <w:lang w:val="en-GB" w:eastAsia="sr-Latn-CS"/>
              </w:rPr>
              <w:t>’</w:t>
            </w:r>
            <w:r w:rsidRPr="00E42587">
              <w:rPr>
                <w:rFonts w:eastAsia="Times New Roman"/>
                <w:b/>
                <w:sz w:val="18"/>
                <w:szCs w:val="18"/>
                <w:lang w:val="sr-Latn-CS" w:eastAsia="sr-Latn-CS"/>
              </w:rPr>
              <w:t xml:space="preserve">. </w:t>
            </w:r>
            <w:r w:rsidR="00805E54">
              <w:fldChar w:fldCharType="begin"/>
            </w:r>
            <w:r w:rsidR="00805E54">
              <w:instrText xml:space="preserve"> HYPERLINK "https://www.n</w:instrText>
            </w:r>
            <w:r w:rsidR="00805E54">
              <w:instrText xml:space="preserve">cbi.nlm.nih.gov/pubmed/27811390" </w:instrText>
            </w:r>
            <w:r w:rsidR="00805E54">
              <w:fldChar w:fldCharType="separate"/>
            </w:r>
            <w:r w:rsidR="00805E54">
              <w:fldChar w:fldCharType="end"/>
            </w:r>
            <w:r w:rsidRPr="00E42587">
              <w:rPr>
                <w:rFonts w:eastAsia="Times New Roman"/>
                <w:b/>
                <w:sz w:val="18"/>
                <w:szCs w:val="18"/>
                <w:lang w:val="sr-Latn-CS" w:eastAsia="sr-Latn-CS"/>
              </w:rPr>
              <w:t xml:space="preserve"> </w:t>
            </w:r>
            <w:r w:rsidRPr="00E42587">
              <w:rPr>
                <w:rFonts w:eastAsia="Times New Roman"/>
                <w:sz w:val="18"/>
                <w:szCs w:val="18"/>
                <w:lang w:val="sr-Latn-CS" w:eastAsia="sr-Latn-CS"/>
              </w:rPr>
              <w:t xml:space="preserve">Seke M, </w:t>
            </w:r>
            <w:r w:rsidRPr="00E42587">
              <w:rPr>
                <w:rFonts w:eastAsia="Times New Roman"/>
                <w:b/>
                <w:sz w:val="18"/>
                <w:szCs w:val="18"/>
                <w:lang w:val="sr-Latn-CS" w:eastAsia="sr-Latn-CS"/>
              </w:rPr>
              <w:t>Petrovic D</w:t>
            </w:r>
            <w:r w:rsidRPr="00E42587">
              <w:rPr>
                <w:rFonts w:eastAsia="Times New Roman"/>
                <w:sz w:val="18"/>
                <w:szCs w:val="18"/>
                <w:lang w:val="sr-Latn-CS" w:eastAsia="sr-Latn-CS"/>
              </w:rPr>
              <w:t xml:space="preserve">, Djordjevic A, Jovic D, Borovic ML, Kanacki Z, Jankovic M. </w:t>
            </w:r>
            <w:r w:rsidRPr="00E42587">
              <w:rPr>
                <w:rFonts w:eastAsia="Times New Roman"/>
                <w:b/>
                <w:sz w:val="18"/>
                <w:szCs w:val="18"/>
                <w:lang w:val="sr-Latn-CS" w:eastAsia="sr-Latn-CS"/>
              </w:rPr>
              <w:t>Nanotechnology</w:t>
            </w:r>
            <w:r w:rsidRPr="00E42587">
              <w:rPr>
                <w:rFonts w:eastAsia="Times New Roman"/>
                <w:sz w:val="18"/>
                <w:szCs w:val="18"/>
                <w:lang w:val="sr-Latn-CS" w:eastAsia="sr-Latn-CS"/>
              </w:rPr>
              <w:t xml:space="preserve">. 2016 Dec 2;27(48):485101. PMID:27811390,     doi:10.1088/issn.0957-4484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M21</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4.</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ga-IE" w:eastAsia="sr-Latn-CS"/>
              </w:rPr>
              <w:t>‘</w:t>
            </w:r>
            <w:r w:rsidRPr="00E42587">
              <w:rPr>
                <w:rFonts w:eastAsia="Times New Roman"/>
                <w:b/>
                <w:sz w:val="18"/>
                <w:szCs w:val="18"/>
                <w:lang w:val="sr-Latn-CS" w:eastAsia="sr-Latn-CS"/>
              </w:rPr>
              <w:t>Аpplications of Anti/Prooxidant Fullerenes in Nanomedicine along with Fullerenes Influence on the Immune System‘</w:t>
            </w:r>
            <w:r w:rsidRPr="00E42587">
              <w:rPr>
                <w:rFonts w:eastAsia="Times New Roman"/>
                <w:sz w:val="18"/>
                <w:szCs w:val="18"/>
                <w:lang w:val="sr-Latn-CS" w:eastAsia="sr-Latn-CS"/>
              </w:rPr>
              <w:t xml:space="preserve">. </w:t>
            </w:r>
            <w:r w:rsidRPr="00E42587">
              <w:rPr>
                <w:rFonts w:eastAsia="Times New Roman"/>
                <w:b/>
                <w:sz w:val="18"/>
                <w:szCs w:val="18"/>
                <w:lang w:val="sr-Latn-CS" w:eastAsia="sr-Latn-CS"/>
              </w:rPr>
              <w:t>D. Petrovic</w:t>
            </w:r>
            <w:r w:rsidRPr="00E42587">
              <w:rPr>
                <w:rFonts w:eastAsia="Times New Roman"/>
                <w:sz w:val="18"/>
                <w:szCs w:val="18"/>
                <w:lang w:val="sr-Latn-CS" w:eastAsia="sr-Latn-CS"/>
              </w:rPr>
              <w:t xml:space="preserve">, M. Seke,  B. Srdjenovic,  A. Djordjevic. </w:t>
            </w:r>
            <w:r w:rsidRPr="00E42587">
              <w:rPr>
                <w:rFonts w:eastAsia="Times New Roman"/>
                <w:b/>
                <w:sz w:val="18"/>
                <w:szCs w:val="18"/>
                <w:lang w:val="sr-Latn-CS" w:eastAsia="sr-Latn-CS"/>
              </w:rPr>
              <w:t>Journal of Nanomaterials</w:t>
            </w:r>
            <w:r w:rsidRPr="00E42587">
              <w:rPr>
                <w:rFonts w:eastAsia="Times New Roman"/>
                <w:sz w:val="18"/>
                <w:szCs w:val="18"/>
                <w:lang w:val="sr-Latn-CS" w:eastAsia="sr-Latn-CS"/>
              </w:rPr>
              <w:t xml:space="preserve"> 07/2015; 2015</w:t>
            </w:r>
            <w:r w:rsidRPr="00E42587">
              <w:rPr>
                <w:rFonts w:eastAsia="Times New Roman"/>
                <w:b/>
                <w:sz w:val="18"/>
                <w:szCs w:val="18"/>
                <w:lang w:val="sr-Latn-CS" w:eastAsia="sr-Latn-CS"/>
              </w:rPr>
              <w:t xml:space="preserve"> </w:t>
            </w:r>
            <w:r w:rsidRPr="00E42587">
              <w:rPr>
                <w:rFonts w:eastAsia="Times New Roman"/>
                <w:sz w:val="18"/>
                <w:szCs w:val="18"/>
                <w:lang w:val="sr-Latn-CS" w:eastAsia="sr-Latn-CS"/>
              </w:rPr>
              <w:t xml:space="preserve">(2):ID 565638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M22</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5.</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ga-IE" w:eastAsia="sr-Latn-CS"/>
              </w:rPr>
              <w:t>‘</w:t>
            </w:r>
            <w:r w:rsidRPr="00E42587">
              <w:rPr>
                <w:rFonts w:eastAsia="Times New Roman"/>
                <w:b/>
                <w:sz w:val="18"/>
                <w:szCs w:val="18"/>
                <w:lang w:val="sr-Latn-CS" w:eastAsia="sr-Latn-CS"/>
              </w:rPr>
              <w:t>Review of synthesis and antioxidant potential of fullerenol nanoparticles</w:t>
            </w:r>
            <w:r w:rsidRPr="00E42587">
              <w:rPr>
                <w:rFonts w:eastAsia="Times New Roman"/>
                <w:b/>
                <w:i/>
                <w:sz w:val="18"/>
                <w:szCs w:val="18"/>
                <w:lang w:val="en-GB" w:eastAsia="sr-Latn-CS"/>
              </w:rPr>
              <w:t>’</w:t>
            </w:r>
            <w:r w:rsidRPr="00E42587">
              <w:rPr>
                <w:rFonts w:eastAsia="Times New Roman"/>
                <w:b/>
                <w:sz w:val="18"/>
                <w:szCs w:val="18"/>
                <w:lang w:val="sr-Latn-CS" w:eastAsia="sr-Latn-CS"/>
              </w:rPr>
              <w:t xml:space="preserve">. </w:t>
            </w:r>
            <w:r w:rsidRPr="00E42587">
              <w:rPr>
                <w:rFonts w:eastAsia="Times New Roman"/>
                <w:sz w:val="18"/>
                <w:szCs w:val="18"/>
                <w:lang w:val="sr-Latn-CS" w:eastAsia="sr-Latn-CS"/>
              </w:rPr>
              <w:t xml:space="preserve">A. Djordjevic,  B. Srdjenovic,  M. Seke,  </w:t>
            </w:r>
            <w:r w:rsidRPr="00E42587">
              <w:rPr>
                <w:rFonts w:eastAsia="Times New Roman"/>
                <w:b/>
                <w:sz w:val="18"/>
                <w:szCs w:val="18"/>
                <w:lang w:val="sr-Latn-CS" w:eastAsia="sr-Latn-CS"/>
              </w:rPr>
              <w:t>D. Petrovic</w:t>
            </w:r>
            <w:r w:rsidRPr="00E42587">
              <w:rPr>
                <w:rFonts w:eastAsia="Times New Roman"/>
                <w:sz w:val="18"/>
                <w:szCs w:val="18"/>
                <w:lang w:val="sr-Latn-CS" w:eastAsia="sr-Latn-CS"/>
              </w:rPr>
              <w:t xml:space="preserve">,  R. Injac,  J. Mrdjanovic.  </w:t>
            </w:r>
            <w:r w:rsidRPr="00E42587">
              <w:rPr>
                <w:rFonts w:eastAsia="Times New Roman"/>
                <w:b/>
                <w:sz w:val="18"/>
                <w:szCs w:val="18"/>
                <w:lang w:val="sr-Latn-CS" w:eastAsia="sr-Latn-CS"/>
              </w:rPr>
              <w:t>Journal of Nanomaterials</w:t>
            </w:r>
            <w:r w:rsidRPr="00E42587">
              <w:rPr>
                <w:rFonts w:eastAsia="Times New Roman"/>
                <w:sz w:val="18"/>
                <w:szCs w:val="18"/>
                <w:lang w:val="sr-Latn-CS" w:eastAsia="sr-Latn-CS"/>
              </w:rPr>
              <w:t xml:space="preserve"> 01/2015; 2015(4).  DOI:10.1155/2015/567073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M22</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6.</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en-GB" w:eastAsia="sr-Latn-CS"/>
              </w:rPr>
              <w:t>‘Hepatitis C virus – T cell responses and viral escape mutations’</w:t>
            </w:r>
            <w:r w:rsidRPr="00E42587">
              <w:rPr>
                <w:rFonts w:eastAsia="Times New Roman"/>
                <w:i/>
                <w:sz w:val="18"/>
                <w:szCs w:val="18"/>
                <w:lang w:val="en-GB" w:eastAsia="sr-Latn-CS"/>
              </w:rPr>
              <w:t>.</w:t>
            </w:r>
            <w:r w:rsidRPr="00E42587">
              <w:rPr>
                <w:rFonts w:eastAsia="Times New Roman"/>
                <w:sz w:val="18"/>
                <w:szCs w:val="18"/>
                <w:lang w:val="en-GB" w:eastAsia="sr-Latn-CS"/>
              </w:rPr>
              <w:t xml:space="preserve"> </w:t>
            </w:r>
            <w:r w:rsidRPr="00E42587">
              <w:rPr>
                <w:rFonts w:eastAsia="Times New Roman"/>
                <w:b/>
                <w:bCs/>
                <w:sz w:val="18"/>
                <w:szCs w:val="18"/>
                <w:lang w:val="sr-Latn-CS" w:eastAsia="sr-Latn-CS"/>
              </w:rPr>
              <w:t>Petrovic D</w:t>
            </w:r>
            <w:r w:rsidRPr="00E42587">
              <w:rPr>
                <w:rFonts w:eastAsia="Times New Roman"/>
                <w:sz w:val="18"/>
                <w:szCs w:val="18"/>
                <w:lang w:val="sr-Latn-CS" w:eastAsia="sr-Latn-CS"/>
              </w:rPr>
              <w:t>, Dempsey E, Doherty DG, Kelleher D, Long A.</w:t>
            </w:r>
            <w:r w:rsidRPr="00E42587">
              <w:rPr>
                <w:rFonts w:eastAsia="Times New Roman"/>
                <w:sz w:val="18"/>
                <w:szCs w:val="18"/>
                <w:lang w:val="sr-Cyrl-CS" w:eastAsia="sr-Latn-CS"/>
              </w:rPr>
              <w:t xml:space="preserve"> </w:t>
            </w:r>
            <w:r w:rsidRPr="00E42587">
              <w:rPr>
                <w:rFonts w:eastAsia="Times New Roman"/>
                <w:b/>
                <w:bCs/>
                <w:sz w:val="18"/>
                <w:szCs w:val="18"/>
                <w:lang w:val="sr-Latn-CS" w:eastAsia="sr-Latn-CS"/>
              </w:rPr>
              <w:t>Eur J Immunol</w:t>
            </w:r>
            <w:r w:rsidRPr="00E42587">
              <w:rPr>
                <w:rFonts w:eastAsia="Times New Roman"/>
                <w:sz w:val="18"/>
                <w:szCs w:val="18"/>
                <w:lang w:val="sr-Latn-CS" w:eastAsia="sr-Latn-CS"/>
              </w:rPr>
              <w:t xml:space="preserve">. 2012 Jan;42(1):17-26. doi: 10.1002/eji.201141593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M21</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7.</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ga-IE" w:eastAsia="sr-Latn-CS"/>
              </w:rPr>
              <w:t>‘Molecular footprints reveal the impact of the  protective HLA-A*03 allele in hepatitis C virus infection</w:t>
            </w:r>
            <w:r w:rsidRPr="00E42587">
              <w:rPr>
                <w:rFonts w:eastAsia="Times New Roman"/>
                <w:b/>
                <w:i/>
                <w:sz w:val="18"/>
                <w:szCs w:val="18"/>
                <w:lang w:val="en-GB" w:eastAsia="sr-Latn-CS"/>
              </w:rPr>
              <w:t>’.</w:t>
            </w:r>
            <w:r w:rsidRPr="00E42587">
              <w:rPr>
                <w:rFonts w:eastAsia="Times New Roman"/>
                <w:sz w:val="18"/>
                <w:szCs w:val="18"/>
                <w:lang w:val="en-GB" w:eastAsia="sr-Latn-CS"/>
              </w:rPr>
              <w:t xml:space="preserve"> </w:t>
            </w:r>
            <w:r w:rsidRPr="00E42587">
              <w:rPr>
                <w:rFonts w:eastAsia="Times New Roman"/>
                <w:sz w:val="18"/>
                <w:szCs w:val="18"/>
                <w:lang w:val="sr-Latn-CS" w:eastAsia="sr-Latn-CS"/>
              </w:rPr>
              <w:t xml:space="preserve">Fitzmaurice K, </w:t>
            </w:r>
            <w:r w:rsidRPr="00E42587">
              <w:rPr>
                <w:rFonts w:eastAsia="Times New Roman"/>
                <w:b/>
                <w:bCs/>
                <w:sz w:val="18"/>
                <w:szCs w:val="18"/>
                <w:lang w:val="sr-Latn-CS" w:eastAsia="sr-Latn-CS"/>
              </w:rPr>
              <w:t>Petrovic D</w:t>
            </w:r>
            <w:r w:rsidRPr="00E42587">
              <w:rPr>
                <w:rFonts w:eastAsia="Times New Roman"/>
                <w:sz w:val="18"/>
                <w:szCs w:val="18"/>
                <w:lang w:val="sr-Latn-CS" w:eastAsia="sr-Latn-CS"/>
              </w:rPr>
              <w:t>, Ramamurthy N, Simmons R, Merani S, Gaudieri S, Sims S, Dempsey E, Freitas E, Lea S, McKiernan S, Norris S, Long A, Kelleher D, Klenerman P.</w:t>
            </w:r>
            <w:r w:rsidRPr="00E42587">
              <w:rPr>
                <w:rFonts w:eastAsia="Times New Roman"/>
                <w:b/>
                <w:bCs/>
                <w:sz w:val="18"/>
                <w:szCs w:val="18"/>
                <w:lang w:val="sr-Latn-CS" w:eastAsia="sr-Latn-CS"/>
              </w:rPr>
              <w:t>Gut</w:t>
            </w:r>
            <w:r w:rsidRPr="00E42587">
              <w:rPr>
                <w:rFonts w:eastAsia="Times New Roman"/>
                <w:sz w:val="18"/>
                <w:szCs w:val="18"/>
                <w:lang w:val="sr-Latn-CS" w:eastAsia="sr-Latn-CS"/>
              </w:rPr>
              <w:t xml:space="preserve">. 2011 Nov;60(11):1563-71.   </w:t>
            </w:r>
            <w:r w:rsidRPr="00E42587">
              <w:rPr>
                <w:rFonts w:eastAsia="Times New Roman"/>
                <w:sz w:val="18"/>
                <w:szCs w:val="18"/>
                <w:lang w:val="sr-Cyrl-CS" w:eastAsia="sr-Latn-CS"/>
              </w:rPr>
              <w:t xml:space="preserve">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M21</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8.</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sr-Latn-CS" w:eastAsia="sr-Latn-CS"/>
              </w:rPr>
              <w:t>'Hepatitis C virus targets the T cell secretory machinery as a mechanism of immune evasion’</w:t>
            </w:r>
            <w:r w:rsidRPr="00E42587">
              <w:rPr>
                <w:rFonts w:eastAsia="Times New Roman"/>
                <w:i/>
                <w:sz w:val="18"/>
                <w:szCs w:val="18"/>
                <w:lang w:val="sr-Latn-CS" w:eastAsia="sr-Latn-CS"/>
              </w:rPr>
              <w:t>.</w:t>
            </w:r>
            <w:r w:rsidRPr="00E42587">
              <w:rPr>
                <w:rFonts w:eastAsia="Times New Roman"/>
                <w:sz w:val="18"/>
                <w:szCs w:val="18"/>
                <w:lang w:val="sr-Latn-CS" w:eastAsia="sr-Latn-CS"/>
              </w:rPr>
              <w:t xml:space="preserve"> </w:t>
            </w:r>
            <w:r w:rsidRPr="00E42587">
              <w:rPr>
                <w:rFonts w:eastAsia="Times New Roman"/>
                <w:b/>
                <w:bCs/>
                <w:sz w:val="18"/>
                <w:szCs w:val="18"/>
                <w:lang w:val="sr-Latn-CS" w:eastAsia="sr-Latn-CS"/>
              </w:rPr>
              <w:t>Petrovic D</w:t>
            </w:r>
            <w:r w:rsidRPr="00E42587">
              <w:rPr>
                <w:rFonts w:eastAsia="Times New Roman"/>
                <w:sz w:val="18"/>
                <w:szCs w:val="18"/>
                <w:lang w:val="sr-Latn-CS" w:eastAsia="sr-Latn-CS"/>
              </w:rPr>
              <w:t>, Stamataki Z, Dempsey E, Golden-Mason L, Freeley M, Doherty D, Prichard D, Keogh C, Conroy J, Mitchell S, Volkov Y, McKeating JA, O'Farrelly C, Kelleher D, Long A.</w:t>
            </w:r>
            <w:r w:rsidRPr="00E42587">
              <w:rPr>
                <w:rFonts w:eastAsia="Times New Roman"/>
                <w:sz w:val="18"/>
                <w:szCs w:val="18"/>
                <w:lang w:val="sr-Cyrl-CS" w:eastAsia="sr-Latn-CS"/>
              </w:rPr>
              <w:t xml:space="preserve"> </w:t>
            </w:r>
            <w:r w:rsidRPr="00E42587">
              <w:rPr>
                <w:rFonts w:eastAsia="Times New Roman"/>
                <w:b/>
                <w:bCs/>
                <w:sz w:val="18"/>
                <w:szCs w:val="18"/>
                <w:lang w:val="sr-Latn-CS" w:eastAsia="sr-Latn-CS"/>
              </w:rPr>
              <w:t>Hepatology</w:t>
            </w:r>
            <w:r w:rsidRPr="00E42587">
              <w:rPr>
                <w:rFonts w:eastAsia="Times New Roman"/>
                <w:sz w:val="18"/>
                <w:szCs w:val="18"/>
                <w:lang w:val="sr-Latn-CS" w:eastAsia="sr-Latn-CS"/>
              </w:rPr>
              <w:t xml:space="preserve">. 2011 Jun;53(6):1846-53. doi: 10.1002/hep.24327.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M21</w:t>
            </w:r>
          </w:p>
        </w:tc>
      </w:tr>
      <w:tr w:rsidR="00914094" w:rsidRPr="00E42587" w:rsidTr="009945E2">
        <w:trPr>
          <w:trHeight w:val="227"/>
        </w:trPr>
        <w:tc>
          <w:tcPr>
            <w:tcW w:w="540" w:type="dxa"/>
            <w:gridSpan w:val="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9.</w:t>
            </w:r>
          </w:p>
        </w:tc>
        <w:tc>
          <w:tcPr>
            <w:tcW w:w="8640" w:type="dxa"/>
            <w:gridSpan w:val="9"/>
            <w:shd w:val="clear" w:color="auto" w:fill="auto"/>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i/>
                <w:sz w:val="18"/>
                <w:szCs w:val="18"/>
                <w:lang w:val="en-GB" w:eastAsia="sr-Latn-CS"/>
              </w:rPr>
              <w:t>‘</w:t>
            </w:r>
            <w:r w:rsidRPr="00E42587">
              <w:rPr>
                <w:rFonts w:ascii="Times" w:eastAsia="Times New Roman" w:hAnsi="Times"/>
                <w:b/>
                <w:i/>
                <w:sz w:val="18"/>
                <w:szCs w:val="18"/>
                <w:lang w:val="sr-Latn-CS" w:eastAsia="sr-Latn-CS"/>
              </w:rPr>
              <w:t>Effect of host immune pressure on Hepatitis C virus evolution: insights from a single source outbreak’</w:t>
            </w:r>
            <w:r w:rsidRPr="00E42587">
              <w:rPr>
                <w:rFonts w:ascii="Times" w:eastAsia="Times New Roman" w:hAnsi="Times"/>
                <w:b/>
                <w:i/>
                <w:sz w:val="18"/>
                <w:szCs w:val="18"/>
                <w:lang w:val="sr-Cyrl-CS" w:eastAsia="sr-Latn-CS"/>
              </w:rPr>
              <w:t>.</w:t>
            </w:r>
            <w:r w:rsidRPr="00E42587">
              <w:rPr>
                <w:rFonts w:eastAsia="Times New Roman"/>
                <w:sz w:val="18"/>
                <w:szCs w:val="18"/>
                <w:lang w:val="sr-Latn-CS" w:eastAsia="sr-Latn-CS"/>
              </w:rPr>
              <w:t xml:space="preserve"> Merani S, </w:t>
            </w:r>
            <w:r w:rsidRPr="00E42587">
              <w:rPr>
                <w:rFonts w:eastAsia="Times New Roman"/>
                <w:b/>
                <w:bCs/>
                <w:sz w:val="18"/>
                <w:szCs w:val="18"/>
                <w:lang w:val="sr-Latn-CS" w:eastAsia="sr-Latn-CS"/>
              </w:rPr>
              <w:t>Petrovic D</w:t>
            </w:r>
            <w:r w:rsidRPr="00E42587">
              <w:rPr>
                <w:rFonts w:eastAsia="Times New Roman"/>
                <w:sz w:val="18"/>
                <w:szCs w:val="18"/>
                <w:lang w:val="sr-Latn-CS" w:eastAsia="sr-Latn-CS"/>
              </w:rPr>
              <w:t>, James I, Chopra A, Cooper D, Freitas E, Rauch A, di Iulio J, John M, Lucas M, Fitzmaurice K, McKiernan S, Norris S, Kelleher D, Klenerman P, Gaudieri S.</w:t>
            </w:r>
            <w:r w:rsidRPr="00E42587">
              <w:rPr>
                <w:rFonts w:eastAsia="Times New Roman"/>
                <w:sz w:val="18"/>
                <w:szCs w:val="18"/>
                <w:lang w:val="sr-Cyrl-CS" w:eastAsia="sr-Latn-CS"/>
              </w:rPr>
              <w:t xml:space="preserve"> </w:t>
            </w:r>
            <w:r w:rsidRPr="00E42587">
              <w:rPr>
                <w:rFonts w:eastAsia="Times New Roman"/>
                <w:b/>
                <w:bCs/>
                <w:sz w:val="18"/>
                <w:szCs w:val="18"/>
                <w:lang w:val="sr-Latn-CS" w:eastAsia="sr-Latn-CS"/>
              </w:rPr>
              <w:t>Hepatology</w:t>
            </w:r>
            <w:r w:rsidRPr="00E42587">
              <w:rPr>
                <w:rFonts w:eastAsia="Times New Roman"/>
                <w:sz w:val="18"/>
                <w:szCs w:val="18"/>
                <w:lang w:val="sr-Latn-CS" w:eastAsia="sr-Latn-CS"/>
              </w:rPr>
              <w:t xml:space="preserve">. 2011 Feb;53(2):396-405. doi: 10.1002/hep.24076.    </w:t>
            </w:r>
          </w:p>
        </w:tc>
        <w:tc>
          <w:tcPr>
            <w:tcW w:w="743" w:type="dxa"/>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M21</w:t>
            </w:r>
          </w:p>
        </w:tc>
      </w:tr>
      <w:tr w:rsidR="00914094" w:rsidRPr="00E42587" w:rsidTr="00CE5358">
        <w:tc>
          <w:tcPr>
            <w:tcW w:w="9923" w:type="dxa"/>
            <w:gridSpan w:val="12"/>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b/>
                <w:sz w:val="20"/>
                <w:szCs w:val="20"/>
                <w:lang w:val="sr-Cyrl-CS" w:eastAsia="sr-Latn-CS"/>
              </w:rPr>
              <w:t>Збирни подаци научне активност наставника</w:t>
            </w:r>
          </w:p>
        </w:tc>
      </w:tr>
      <w:tr w:rsidR="00914094" w:rsidRPr="00E42587" w:rsidTr="00CE5358">
        <w:tc>
          <w:tcPr>
            <w:tcW w:w="4678" w:type="dxa"/>
            <w:gridSpan w:val="6"/>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Укупан број цитата, без аутоцитата</w:t>
            </w:r>
          </w:p>
        </w:tc>
        <w:tc>
          <w:tcPr>
            <w:tcW w:w="5245" w:type="dxa"/>
            <w:gridSpan w:val="6"/>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159</w:t>
            </w:r>
          </w:p>
        </w:tc>
      </w:tr>
      <w:tr w:rsidR="00914094" w:rsidRPr="00E42587" w:rsidTr="00CE5358">
        <w:tc>
          <w:tcPr>
            <w:tcW w:w="4678" w:type="dxa"/>
            <w:gridSpan w:val="6"/>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Укупан број радова са SCI (или SSCI) листе</w:t>
            </w:r>
          </w:p>
        </w:tc>
        <w:tc>
          <w:tcPr>
            <w:tcW w:w="5245" w:type="dxa"/>
            <w:gridSpan w:val="6"/>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en-IE" w:eastAsia="sr-Latn-CS"/>
              </w:rPr>
              <w:t>9</w:t>
            </w:r>
          </w:p>
        </w:tc>
      </w:tr>
      <w:tr w:rsidR="00914094" w:rsidRPr="00E42587" w:rsidTr="00CE5358">
        <w:tc>
          <w:tcPr>
            <w:tcW w:w="4678" w:type="dxa"/>
            <w:gridSpan w:val="6"/>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sr-Cyrl-CS" w:eastAsia="sr-Latn-CS"/>
              </w:rPr>
            </w:pPr>
            <w:r w:rsidRPr="00E42587">
              <w:rPr>
                <w:rFonts w:eastAsia="Times New Roman"/>
                <w:sz w:val="20"/>
                <w:szCs w:val="20"/>
                <w:lang w:val="sr-Cyrl-CS" w:eastAsia="sr-Latn-CS"/>
              </w:rPr>
              <w:t>Тренутно учешће на пројектима</w:t>
            </w:r>
          </w:p>
        </w:tc>
        <w:tc>
          <w:tcPr>
            <w:tcW w:w="2334"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sr-Cyrl-CS" w:eastAsia="sr-Latn-CS"/>
              </w:rPr>
              <w:t>Домаћи</w:t>
            </w:r>
            <w:r w:rsidRPr="00E42587">
              <w:rPr>
                <w:rFonts w:eastAsia="Times New Roman"/>
                <w:sz w:val="20"/>
                <w:szCs w:val="20"/>
                <w:lang w:val="en-IE" w:eastAsia="sr-Latn-CS"/>
              </w:rPr>
              <w:t xml:space="preserve">  1</w:t>
            </w:r>
          </w:p>
        </w:tc>
        <w:tc>
          <w:tcPr>
            <w:tcW w:w="2911" w:type="dxa"/>
            <w:gridSpan w:val="3"/>
            <w:vAlign w:val="center"/>
          </w:tcPr>
          <w:p w:rsidR="00914094" w:rsidRPr="00E42587" w:rsidRDefault="00914094" w:rsidP="00E42587">
            <w:pPr>
              <w:widowControl w:val="0"/>
              <w:tabs>
                <w:tab w:val="left" w:pos="567"/>
              </w:tabs>
              <w:autoSpaceDE w:val="0"/>
              <w:autoSpaceDN w:val="0"/>
              <w:adjustRightInd w:val="0"/>
              <w:spacing w:after="60"/>
              <w:rPr>
                <w:rFonts w:eastAsia="Times New Roman"/>
                <w:sz w:val="20"/>
                <w:szCs w:val="20"/>
                <w:lang w:val="en-IE" w:eastAsia="sr-Latn-CS"/>
              </w:rPr>
            </w:pPr>
            <w:r w:rsidRPr="00E42587">
              <w:rPr>
                <w:rFonts w:eastAsia="Times New Roman"/>
                <w:sz w:val="20"/>
                <w:szCs w:val="20"/>
                <w:lang w:val="sr-Cyrl-CS" w:eastAsia="sr-Latn-CS"/>
              </w:rPr>
              <w:t>Међународни</w:t>
            </w:r>
            <w:r w:rsidRPr="00E42587">
              <w:rPr>
                <w:rFonts w:eastAsia="Times New Roman"/>
                <w:sz w:val="20"/>
                <w:szCs w:val="20"/>
                <w:lang w:val="en-IE" w:eastAsia="sr-Latn-CS"/>
              </w:rPr>
              <w:t xml:space="preserve">   1</w:t>
            </w:r>
          </w:p>
        </w:tc>
      </w:tr>
      <w:tr w:rsidR="00B85A64" w:rsidRPr="00E42587" w:rsidTr="00F436B9">
        <w:tc>
          <w:tcPr>
            <w:tcW w:w="9923" w:type="dxa"/>
            <w:gridSpan w:val="12"/>
            <w:vAlign w:val="center"/>
          </w:tcPr>
          <w:p w:rsidR="00B85A64" w:rsidRPr="00E42587" w:rsidRDefault="00B85A64" w:rsidP="00B85A64">
            <w:pPr>
              <w:widowControl w:val="0"/>
              <w:tabs>
                <w:tab w:val="left" w:pos="567"/>
              </w:tabs>
              <w:autoSpaceDE w:val="0"/>
              <w:autoSpaceDN w:val="0"/>
              <w:adjustRightInd w:val="0"/>
              <w:spacing w:after="60"/>
              <w:rPr>
                <w:rFonts w:ascii="Calibri" w:hAnsi="Calibri" w:cs="Calibri"/>
                <w:lang w:val="en-IE"/>
              </w:rPr>
            </w:pPr>
            <w:r>
              <w:rPr>
                <w:rFonts w:eastAsia="Times New Roman"/>
                <w:sz w:val="20"/>
                <w:szCs w:val="20"/>
                <w:lang w:val="sr-Cyrl-CS" w:eastAsia="sr-Latn-CS"/>
              </w:rPr>
              <w:t xml:space="preserve">Усавршавања: </w:t>
            </w:r>
            <w:r w:rsidRPr="00E42587">
              <w:rPr>
                <w:b/>
                <w:sz w:val="18"/>
                <w:szCs w:val="18"/>
                <w:lang w:val="sr-Cyrl-RS"/>
              </w:rPr>
              <w:t>Усавршавање из молекуларне биологије Т лимфоцита у контексту аутоимуних болести</w:t>
            </w:r>
            <w:r w:rsidRPr="00E42587">
              <w:rPr>
                <w:sz w:val="18"/>
                <w:szCs w:val="18"/>
                <w:lang w:val="sr-Cyrl-RS"/>
              </w:rPr>
              <w:t xml:space="preserve">, </w:t>
            </w:r>
            <w:r w:rsidRPr="00E42587">
              <w:rPr>
                <w:sz w:val="18"/>
                <w:szCs w:val="18"/>
                <w:lang w:val="en-IE"/>
              </w:rPr>
              <w:t>Trinity Translational Medicine Institute,</w:t>
            </w:r>
            <w:r w:rsidRPr="00E42587">
              <w:rPr>
                <w:rFonts w:ascii="Calibri" w:hAnsi="Calibri" w:cs="Calibri"/>
                <w:lang w:val="en-IE"/>
              </w:rPr>
              <w:t xml:space="preserve"> </w:t>
            </w:r>
            <w:r w:rsidRPr="00E42587">
              <w:rPr>
                <w:rFonts w:eastAsia="Times New Roman"/>
                <w:sz w:val="18"/>
                <w:szCs w:val="18"/>
                <w:lang w:val="sr-Latn-CS" w:eastAsia="sr-Latn-CS"/>
              </w:rPr>
              <w:t>Trinity College Dublin, Republic of Ireland; 2018-2019</w:t>
            </w:r>
          </w:p>
          <w:p w:rsidR="00B85A64" w:rsidRPr="00E42587" w:rsidRDefault="00B85A64" w:rsidP="00E42587">
            <w:pPr>
              <w:widowControl w:val="0"/>
              <w:autoSpaceDE w:val="0"/>
              <w:autoSpaceDN w:val="0"/>
              <w:adjustRightInd w:val="0"/>
              <w:rPr>
                <w:rFonts w:eastAsia="Times New Roman"/>
                <w:sz w:val="18"/>
                <w:szCs w:val="18"/>
                <w:lang w:val="sr-Latn-CS" w:eastAsia="sr-Latn-CS"/>
              </w:rPr>
            </w:pPr>
            <w:r w:rsidRPr="00E42587">
              <w:rPr>
                <w:rFonts w:eastAsia="Times New Roman"/>
                <w:b/>
                <w:sz w:val="18"/>
                <w:szCs w:val="18"/>
                <w:lang w:val="sr-Cyrl-CS" w:eastAsia="sr-Latn-CS"/>
              </w:rPr>
              <w:t>Докторске студије и постдокторски ангажман</w:t>
            </w:r>
            <w:r w:rsidRPr="00E42587">
              <w:rPr>
                <w:rFonts w:eastAsia="Times New Roman"/>
                <w:sz w:val="18"/>
                <w:szCs w:val="18"/>
                <w:lang w:val="sr-Latn-CS" w:eastAsia="sr-Latn-CS"/>
              </w:rPr>
              <w:t>, Dept. of Clinical Medicine</w:t>
            </w:r>
            <w:r w:rsidRPr="00E42587">
              <w:rPr>
                <w:rFonts w:eastAsia="Times New Roman"/>
                <w:sz w:val="18"/>
                <w:szCs w:val="18"/>
                <w:lang w:val="sr-Cyrl-CS" w:eastAsia="sr-Latn-CS"/>
              </w:rPr>
              <w:t>,</w:t>
            </w:r>
            <w:r w:rsidRPr="00E42587">
              <w:rPr>
                <w:rFonts w:eastAsia="Times New Roman"/>
                <w:sz w:val="18"/>
                <w:szCs w:val="18"/>
                <w:lang w:val="sr-Latn-CS" w:eastAsia="sr-Latn-CS"/>
              </w:rPr>
              <w:t xml:space="preserve"> School of Medicine, Trinity College Dublin, </w:t>
            </w:r>
            <w:r w:rsidRPr="00E42587">
              <w:rPr>
                <w:rFonts w:eastAsia="Times New Roman"/>
                <w:sz w:val="18"/>
                <w:szCs w:val="18"/>
                <w:lang w:val="sr-Latn-CS" w:eastAsia="sr-Latn-CS"/>
              </w:rPr>
              <w:lastRenderedPageBreak/>
              <w:t>Republic of Ireland; 2004-2009</w:t>
            </w:r>
          </w:p>
          <w:p w:rsidR="00B85A64" w:rsidRPr="00E42587" w:rsidRDefault="00B85A64" w:rsidP="00E42587">
            <w:pPr>
              <w:widowControl w:val="0"/>
              <w:autoSpaceDE w:val="0"/>
              <w:autoSpaceDN w:val="0"/>
              <w:adjustRightInd w:val="0"/>
              <w:rPr>
                <w:rFonts w:eastAsia="Times New Roman"/>
                <w:sz w:val="18"/>
                <w:szCs w:val="18"/>
                <w:lang w:val="en-IE" w:eastAsia="sr-Latn-CS"/>
              </w:rPr>
            </w:pPr>
            <w:r w:rsidRPr="00E42587">
              <w:rPr>
                <w:rFonts w:eastAsia="Times New Roman"/>
                <w:b/>
                <w:sz w:val="18"/>
                <w:szCs w:val="18"/>
                <w:lang w:val="sr-Cyrl-CS" w:eastAsia="sr-Latn-CS"/>
              </w:rPr>
              <w:t>Тренинг програм – детерминација очинства</w:t>
            </w:r>
            <w:r w:rsidRPr="00E42587">
              <w:rPr>
                <w:rFonts w:eastAsia="Times New Roman"/>
                <w:b/>
                <w:sz w:val="18"/>
                <w:szCs w:val="18"/>
                <w:lang w:val="sr-Latn-CS" w:eastAsia="sr-Latn-CS"/>
              </w:rPr>
              <w:t xml:space="preserve"> - </w:t>
            </w:r>
            <w:r w:rsidRPr="00E42587">
              <w:rPr>
                <w:rFonts w:eastAsia="Times New Roman"/>
                <w:sz w:val="18"/>
                <w:szCs w:val="18"/>
                <w:lang w:val="sr-Latn-CS" w:eastAsia="sr-Latn-CS"/>
              </w:rPr>
              <w:t>DNA</w:t>
            </w:r>
            <w:r w:rsidRPr="00E42587">
              <w:rPr>
                <w:rFonts w:eastAsia="Times New Roman"/>
                <w:b/>
                <w:sz w:val="18"/>
                <w:szCs w:val="18"/>
                <w:lang w:val="sr-Latn-CS" w:eastAsia="sr-Latn-CS"/>
              </w:rPr>
              <w:t xml:space="preserve"> </w:t>
            </w:r>
            <w:r w:rsidRPr="00E42587">
              <w:rPr>
                <w:rFonts w:eastAsia="Times New Roman"/>
                <w:sz w:val="18"/>
                <w:szCs w:val="18"/>
                <w:lang w:val="sr-Latn-CS" w:eastAsia="sr-Latn-CS"/>
              </w:rPr>
              <w:t xml:space="preserve">Profiling method, National Genetic Laboratory, University Hospital of Obstetrics and Gynaecology  “Maichin Dom”, Sofia, Bulgaria;  </w:t>
            </w:r>
            <w:r w:rsidRPr="00E42587">
              <w:rPr>
                <w:rFonts w:eastAsia="Times New Roman"/>
                <w:sz w:val="18"/>
                <w:szCs w:val="18"/>
                <w:lang w:val="sr-Cyrl-CS" w:eastAsia="sr-Latn-CS"/>
              </w:rPr>
              <w:t xml:space="preserve">октобар </w:t>
            </w:r>
            <w:r w:rsidRPr="00E42587">
              <w:rPr>
                <w:rFonts w:eastAsia="Times New Roman"/>
                <w:sz w:val="18"/>
                <w:szCs w:val="18"/>
                <w:lang w:val="sr-Latn-CS" w:eastAsia="sr-Latn-CS"/>
              </w:rPr>
              <w:t>2000</w:t>
            </w:r>
          </w:p>
        </w:tc>
      </w:tr>
      <w:tr w:rsidR="009625A2" w:rsidRPr="00E42587" w:rsidTr="009625A2">
        <w:tc>
          <w:tcPr>
            <w:tcW w:w="9923" w:type="dxa"/>
            <w:gridSpan w:val="12"/>
            <w:vAlign w:val="center"/>
          </w:tcPr>
          <w:p w:rsidR="009625A2" w:rsidRDefault="009625A2" w:rsidP="009625A2">
            <w:pPr>
              <w:widowControl w:val="0"/>
              <w:tabs>
                <w:tab w:val="left" w:pos="567"/>
              </w:tabs>
              <w:autoSpaceDE w:val="0"/>
              <w:autoSpaceDN w:val="0"/>
              <w:adjustRightInd w:val="0"/>
              <w:spacing w:after="60"/>
              <w:jc w:val="right"/>
              <w:rPr>
                <w:rFonts w:eastAsia="Times New Roman"/>
                <w:sz w:val="20"/>
                <w:szCs w:val="20"/>
                <w:lang w:val="sr-Cyrl-CS" w:eastAsia="sr-Latn-CS"/>
              </w:rPr>
            </w:pPr>
            <w:r>
              <w:rPr>
                <w:rFonts w:eastAsia="Times New Roman"/>
                <w:sz w:val="20"/>
                <w:szCs w:val="20"/>
                <w:lang w:val="sr-Cyrl-CS" w:eastAsia="sr-Latn-CS"/>
              </w:rPr>
              <w:lastRenderedPageBreak/>
              <w:t xml:space="preserve">  </w:t>
            </w:r>
            <w:hyperlink w:anchor="Компетентност" w:history="1">
              <w:r w:rsidRPr="009625A2">
                <w:rPr>
                  <w:rStyle w:val="Hyperlink"/>
                  <w:rFonts w:eastAsia="Times New Roman"/>
                  <w:sz w:val="20"/>
                  <w:szCs w:val="20"/>
                  <w:lang w:val="sr-Cyrl-CS" w:eastAsia="sr-Latn-CS"/>
                </w:rPr>
                <w:t>почетак</w:t>
              </w:r>
            </w:hyperlink>
          </w:p>
        </w:tc>
      </w:tr>
    </w:tbl>
    <w:p w:rsidR="00E42587" w:rsidRDefault="00E42587"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841425" w:rsidRDefault="00841425"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2351C4" w:rsidRDefault="002351C4" w:rsidP="00E36EE2">
      <w:pPr>
        <w:rPr>
          <w:sz w:val="20"/>
          <w:szCs w:val="20"/>
          <w:lang w:val="sr-Cyrl-RS"/>
        </w:rPr>
      </w:pPr>
    </w:p>
    <w:p w:rsidR="00841425" w:rsidRPr="00841425" w:rsidRDefault="00841425" w:rsidP="00E36EE2">
      <w:pPr>
        <w:rPr>
          <w:sz w:val="20"/>
          <w:szCs w:val="20"/>
          <w:lang w:val="sr-Cyrl-RS"/>
        </w:rPr>
      </w:pPr>
    </w:p>
    <w:p w:rsidR="002B42F1" w:rsidRDefault="002B42F1" w:rsidP="00E36EE2">
      <w:pPr>
        <w:rPr>
          <w:sz w:val="20"/>
          <w:szCs w:val="20"/>
        </w:rPr>
      </w:pPr>
    </w:p>
    <w:p w:rsidR="002B42F1" w:rsidRDefault="002B42F1" w:rsidP="00E36EE2">
      <w:pPr>
        <w:rPr>
          <w:sz w:val="20"/>
          <w:szCs w:val="20"/>
        </w:rPr>
      </w:pPr>
    </w:p>
    <w:p w:rsidR="002B42F1" w:rsidRPr="002B42F1" w:rsidRDefault="002B42F1" w:rsidP="00E36EE2">
      <w:pP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03"/>
        <w:gridCol w:w="900"/>
        <w:gridCol w:w="299"/>
        <w:gridCol w:w="849"/>
        <w:gridCol w:w="1856"/>
        <w:gridCol w:w="478"/>
        <w:gridCol w:w="118"/>
        <w:gridCol w:w="1092"/>
        <w:gridCol w:w="1608"/>
        <w:gridCol w:w="795"/>
      </w:tblGrid>
      <w:tr w:rsidR="002B42F1" w:rsidRPr="002B42F1" w:rsidTr="00F436B9">
        <w:trPr>
          <w:trHeight w:val="227"/>
        </w:trPr>
        <w:tc>
          <w:tcPr>
            <w:tcW w:w="2970" w:type="dxa"/>
            <w:gridSpan w:val="3"/>
            <w:vAlign w:val="center"/>
          </w:tcPr>
          <w:p w:rsidR="002B42F1" w:rsidRPr="002B42F1" w:rsidRDefault="002B42F1" w:rsidP="002B42F1">
            <w:pPr>
              <w:tabs>
                <w:tab w:val="left" w:pos="567"/>
              </w:tabs>
              <w:spacing w:after="60"/>
              <w:rPr>
                <w:sz w:val="20"/>
                <w:szCs w:val="20"/>
                <w:lang w:val="sr-Cyrl-CS"/>
              </w:rPr>
            </w:pPr>
            <w:r w:rsidRPr="002B42F1">
              <w:rPr>
                <w:b/>
                <w:sz w:val="20"/>
                <w:szCs w:val="20"/>
                <w:lang w:val="sr-Cyrl-CS"/>
              </w:rPr>
              <w:lastRenderedPageBreak/>
              <w:t>Име и презиме</w:t>
            </w:r>
          </w:p>
        </w:tc>
        <w:tc>
          <w:tcPr>
            <w:tcW w:w="7095" w:type="dxa"/>
            <w:gridSpan w:val="8"/>
            <w:vAlign w:val="center"/>
          </w:tcPr>
          <w:p w:rsidR="002B42F1" w:rsidRPr="002B42F1" w:rsidRDefault="00F436B9" w:rsidP="002B42F1">
            <w:pPr>
              <w:spacing w:line="276" w:lineRule="auto"/>
              <w:rPr>
                <w:sz w:val="20"/>
                <w:szCs w:val="20"/>
                <w:lang w:val="sr-Cyrl-CS"/>
              </w:rPr>
            </w:pPr>
            <w:bookmarkStart w:id="10" w:name="ДраганЦвејић"/>
            <w:r>
              <w:rPr>
                <w:sz w:val="20"/>
                <w:szCs w:val="20"/>
                <w:lang w:val="sr-Cyrl-CS"/>
              </w:rPr>
              <w:t>Драган Цвејић</w:t>
            </w:r>
            <w:bookmarkEnd w:id="10"/>
          </w:p>
        </w:tc>
      </w:tr>
      <w:tr w:rsidR="002B42F1" w:rsidRPr="002B42F1" w:rsidTr="00F436B9">
        <w:trPr>
          <w:trHeight w:val="227"/>
        </w:trPr>
        <w:tc>
          <w:tcPr>
            <w:tcW w:w="2970" w:type="dxa"/>
            <w:gridSpan w:val="3"/>
            <w:vAlign w:val="center"/>
          </w:tcPr>
          <w:p w:rsidR="002B42F1" w:rsidRPr="002B42F1" w:rsidRDefault="002B42F1" w:rsidP="002B42F1">
            <w:pPr>
              <w:tabs>
                <w:tab w:val="left" w:pos="567"/>
              </w:tabs>
              <w:spacing w:after="60"/>
              <w:rPr>
                <w:sz w:val="20"/>
                <w:szCs w:val="20"/>
                <w:lang w:val="sr-Cyrl-CS"/>
              </w:rPr>
            </w:pPr>
            <w:r w:rsidRPr="002B42F1">
              <w:rPr>
                <w:b/>
                <w:sz w:val="20"/>
                <w:szCs w:val="20"/>
                <w:lang w:val="sr-Cyrl-CS"/>
              </w:rPr>
              <w:t>Звање</w:t>
            </w:r>
          </w:p>
        </w:tc>
        <w:tc>
          <w:tcPr>
            <w:tcW w:w="7095" w:type="dxa"/>
            <w:gridSpan w:val="8"/>
            <w:vAlign w:val="center"/>
          </w:tcPr>
          <w:p w:rsidR="002B42F1" w:rsidRPr="002B42F1" w:rsidRDefault="00F436B9" w:rsidP="002B42F1">
            <w:pPr>
              <w:spacing w:line="276" w:lineRule="auto"/>
              <w:rPr>
                <w:sz w:val="20"/>
                <w:szCs w:val="20"/>
                <w:lang w:val="sr-Cyrl-CS"/>
              </w:rPr>
            </w:pPr>
            <w:r>
              <w:rPr>
                <w:sz w:val="20"/>
                <w:szCs w:val="20"/>
                <w:lang w:val="sr-Cyrl-CS"/>
              </w:rPr>
              <w:t>Доцент</w:t>
            </w:r>
          </w:p>
        </w:tc>
      </w:tr>
      <w:tr w:rsidR="002B42F1" w:rsidRPr="002B42F1" w:rsidTr="00F436B9">
        <w:trPr>
          <w:trHeight w:val="227"/>
        </w:trPr>
        <w:tc>
          <w:tcPr>
            <w:tcW w:w="2970" w:type="dxa"/>
            <w:gridSpan w:val="3"/>
            <w:vAlign w:val="center"/>
          </w:tcPr>
          <w:p w:rsidR="002B42F1" w:rsidRPr="002B42F1" w:rsidRDefault="002B42F1" w:rsidP="002B42F1">
            <w:pPr>
              <w:tabs>
                <w:tab w:val="left" w:pos="567"/>
              </w:tabs>
              <w:spacing w:after="60"/>
              <w:rPr>
                <w:sz w:val="20"/>
                <w:szCs w:val="20"/>
                <w:lang w:val="sr-Cyrl-CS"/>
              </w:rPr>
            </w:pPr>
            <w:r w:rsidRPr="002B42F1">
              <w:rPr>
                <w:b/>
                <w:sz w:val="20"/>
                <w:szCs w:val="20"/>
                <w:lang w:val="sr-Cyrl-CS"/>
              </w:rPr>
              <w:t>Ужа научна област</w:t>
            </w:r>
          </w:p>
        </w:tc>
        <w:tc>
          <w:tcPr>
            <w:tcW w:w="7095" w:type="dxa"/>
            <w:gridSpan w:val="8"/>
            <w:vAlign w:val="center"/>
          </w:tcPr>
          <w:p w:rsidR="002B42F1" w:rsidRPr="002B42F1" w:rsidRDefault="00F436B9" w:rsidP="002B42F1">
            <w:pPr>
              <w:tabs>
                <w:tab w:val="left" w:pos="567"/>
              </w:tabs>
              <w:rPr>
                <w:sz w:val="20"/>
                <w:szCs w:val="20"/>
                <w:lang w:val="sr-Cyrl-CS"/>
              </w:rPr>
            </w:pPr>
            <w:r>
              <w:rPr>
                <w:sz w:val="20"/>
                <w:szCs w:val="20"/>
                <w:lang w:val="sr-Cyrl-CS"/>
              </w:rPr>
              <w:t>Методика наставе физичког васпитања</w:t>
            </w:r>
          </w:p>
        </w:tc>
      </w:tr>
      <w:tr w:rsidR="00914094" w:rsidRPr="002B42F1" w:rsidTr="00F436B9">
        <w:trPr>
          <w:trHeight w:val="227"/>
        </w:trPr>
        <w:tc>
          <w:tcPr>
            <w:tcW w:w="2070" w:type="dxa"/>
            <w:gridSpan w:val="2"/>
            <w:vAlign w:val="center"/>
          </w:tcPr>
          <w:p w:rsidR="00914094" w:rsidRPr="002B42F1" w:rsidRDefault="00914094" w:rsidP="002B42F1">
            <w:pPr>
              <w:tabs>
                <w:tab w:val="left" w:pos="567"/>
              </w:tabs>
              <w:spacing w:after="60"/>
              <w:rPr>
                <w:sz w:val="20"/>
                <w:szCs w:val="20"/>
                <w:lang w:val="sr-Cyrl-CS"/>
              </w:rPr>
            </w:pPr>
            <w:r w:rsidRPr="002B42F1">
              <w:rPr>
                <w:b/>
                <w:sz w:val="20"/>
                <w:szCs w:val="20"/>
                <w:lang w:val="sr-Cyrl-CS"/>
              </w:rPr>
              <w:t>Академска каријера</w:t>
            </w:r>
          </w:p>
        </w:tc>
        <w:tc>
          <w:tcPr>
            <w:tcW w:w="900" w:type="dxa"/>
            <w:vAlign w:val="center"/>
          </w:tcPr>
          <w:p w:rsidR="00914094" w:rsidRPr="002B42F1" w:rsidRDefault="00914094" w:rsidP="002B42F1">
            <w:pPr>
              <w:tabs>
                <w:tab w:val="left" w:pos="567"/>
              </w:tabs>
              <w:spacing w:after="60"/>
              <w:rPr>
                <w:sz w:val="20"/>
                <w:szCs w:val="20"/>
                <w:lang w:val="sr-Cyrl-CS"/>
              </w:rPr>
            </w:pPr>
            <w:r w:rsidRPr="002B42F1">
              <w:rPr>
                <w:sz w:val="20"/>
                <w:szCs w:val="20"/>
                <w:lang w:val="sr-Cyrl-CS"/>
              </w:rPr>
              <w:t xml:space="preserve">Година </w:t>
            </w:r>
          </w:p>
        </w:tc>
        <w:tc>
          <w:tcPr>
            <w:tcW w:w="3600" w:type="dxa"/>
            <w:gridSpan w:val="5"/>
            <w:vAlign w:val="center"/>
          </w:tcPr>
          <w:p w:rsidR="00914094" w:rsidRPr="002B42F1" w:rsidRDefault="00914094" w:rsidP="002B42F1">
            <w:pPr>
              <w:tabs>
                <w:tab w:val="left" w:pos="567"/>
              </w:tabs>
              <w:spacing w:after="60"/>
              <w:rPr>
                <w:sz w:val="20"/>
                <w:szCs w:val="20"/>
                <w:lang w:val="sr-Cyrl-CS"/>
              </w:rPr>
            </w:pPr>
            <w:r w:rsidRPr="002B42F1">
              <w:rPr>
                <w:sz w:val="20"/>
                <w:szCs w:val="20"/>
                <w:lang w:val="sr-Cyrl-CS"/>
              </w:rPr>
              <w:t xml:space="preserve">Институција </w:t>
            </w:r>
          </w:p>
        </w:tc>
        <w:tc>
          <w:tcPr>
            <w:tcW w:w="3495" w:type="dxa"/>
            <w:gridSpan w:val="3"/>
            <w:vAlign w:val="center"/>
          </w:tcPr>
          <w:p w:rsidR="00914094" w:rsidRPr="004B0977" w:rsidRDefault="00914094" w:rsidP="00914094">
            <w:pPr>
              <w:widowControl w:val="0"/>
              <w:tabs>
                <w:tab w:val="left" w:pos="567"/>
              </w:tabs>
              <w:autoSpaceDE w:val="0"/>
              <w:autoSpaceDN w:val="0"/>
              <w:adjustRightInd w:val="0"/>
              <w:spacing w:after="60"/>
              <w:rPr>
                <w:rFonts w:eastAsia="Times New Roman"/>
                <w:sz w:val="20"/>
                <w:szCs w:val="20"/>
                <w:lang w:val="sr-Cyrl-CS" w:eastAsia="sr-Latn-CS"/>
              </w:rPr>
            </w:pPr>
            <w:r w:rsidRPr="007047C2">
              <w:rPr>
                <w:rFonts w:eastAsia="Times New Roman"/>
                <w:sz w:val="20"/>
                <w:szCs w:val="20"/>
                <w:lang w:val="sr-Cyrl-CS" w:eastAsia="sr-Latn-CS"/>
              </w:rPr>
              <w:t>Ужа научна, уметничка односно стручна област</w:t>
            </w:r>
          </w:p>
        </w:tc>
      </w:tr>
      <w:tr w:rsidR="00F436B9" w:rsidRPr="00F436B9" w:rsidTr="00F436B9">
        <w:trPr>
          <w:trHeight w:val="227"/>
        </w:trPr>
        <w:tc>
          <w:tcPr>
            <w:tcW w:w="2070" w:type="dxa"/>
            <w:gridSpan w:val="2"/>
            <w:vAlign w:val="center"/>
          </w:tcPr>
          <w:p w:rsidR="00F436B9" w:rsidRPr="00F436B9" w:rsidRDefault="00F436B9" w:rsidP="00F436B9">
            <w:pPr>
              <w:tabs>
                <w:tab w:val="left" w:pos="567"/>
              </w:tabs>
              <w:rPr>
                <w:sz w:val="20"/>
                <w:szCs w:val="20"/>
                <w:lang w:val="sr-Cyrl-CS"/>
              </w:rPr>
            </w:pPr>
            <w:r w:rsidRPr="00F436B9">
              <w:rPr>
                <w:sz w:val="20"/>
                <w:szCs w:val="20"/>
                <w:lang w:val="sr-Cyrl-CS"/>
              </w:rPr>
              <w:t>Избор у звање</w:t>
            </w:r>
          </w:p>
        </w:tc>
        <w:tc>
          <w:tcPr>
            <w:tcW w:w="900" w:type="dxa"/>
            <w:vAlign w:val="center"/>
          </w:tcPr>
          <w:p w:rsidR="00F436B9" w:rsidRPr="00F436B9" w:rsidRDefault="00F436B9" w:rsidP="00F436B9">
            <w:pPr>
              <w:pStyle w:val="NoSpacing"/>
              <w:rPr>
                <w:sz w:val="20"/>
                <w:szCs w:val="20"/>
                <w:lang w:val="sr-Cyrl-RS"/>
              </w:rPr>
            </w:pPr>
            <w:r w:rsidRPr="00F436B9">
              <w:rPr>
                <w:sz w:val="20"/>
                <w:szCs w:val="20"/>
              </w:rPr>
              <w:t>201</w:t>
            </w:r>
            <w:r w:rsidRPr="00F436B9">
              <w:rPr>
                <w:sz w:val="20"/>
                <w:szCs w:val="20"/>
                <w:lang w:val="sr-Cyrl-RS"/>
              </w:rPr>
              <w:t>7.</w:t>
            </w:r>
          </w:p>
        </w:tc>
        <w:tc>
          <w:tcPr>
            <w:tcW w:w="3600" w:type="dxa"/>
            <w:gridSpan w:val="5"/>
            <w:shd w:val="clear" w:color="auto" w:fill="auto"/>
            <w:vAlign w:val="center"/>
          </w:tcPr>
          <w:p w:rsidR="00F436B9" w:rsidRPr="00F436B9" w:rsidRDefault="00F436B9" w:rsidP="00F436B9">
            <w:pPr>
              <w:pStyle w:val="NoSpacing"/>
              <w:rPr>
                <w:sz w:val="20"/>
                <w:szCs w:val="20"/>
                <w:lang w:val="sr-Cyrl-RS"/>
              </w:rPr>
            </w:pPr>
            <w:proofErr w:type="spellStart"/>
            <w:r w:rsidRPr="00F436B9">
              <w:rPr>
                <w:sz w:val="20"/>
                <w:szCs w:val="20"/>
              </w:rPr>
              <w:t>Педагошки</w:t>
            </w:r>
            <w:proofErr w:type="spellEnd"/>
            <w:r w:rsidRPr="00F436B9">
              <w:rPr>
                <w:sz w:val="20"/>
                <w:szCs w:val="20"/>
              </w:rPr>
              <w:t xml:space="preserve"> </w:t>
            </w:r>
            <w:proofErr w:type="spellStart"/>
            <w:r w:rsidRPr="00F436B9">
              <w:rPr>
                <w:sz w:val="20"/>
                <w:szCs w:val="20"/>
              </w:rPr>
              <w:t>факултет</w:t>
            </w:r>
            <w:proofErr w:type="spellEnd"/>
            <w:r w:rsidRPr="00F436B9">
              <w:rPr>
                <w:sz w:val="20"/>
                <w:szCs w:val="20"/>
              </w:rPr>
              <w:t xml:space="preserve"> </w:t>
            </w:r>
            <w:r w:rsidRPr="00F436B9">
              <w:rPr>
                <w:sz w:val="20"/>
                <w:szCs w:val="20"/>
                <w:lang w:val="sr-Cyrl-RS"/>
              </w:rPr>
              <w:t xml:space="preserve"> у </w:t>
            </w:r>
            <w:proofErr w:type="spellStart"/>
            <w:r w:rsidRPr="00F436B9">
              <w:rPr>
                <w:sz w:val="20"/>
                <w:szCs w:val="20"/>
              </w:rPr>
              <w:t>Сомбор</w:t>
            </w:r>
            <w:proofErr w:type="spellEnd"/>
            <w:r w:rsidRPr="00F436B9">
              <w:rPr>
                <w:sz w:val="20"/>
                <w:szCs w:val="20"/>
                <w:lang w:val="sr-Cyrl-RS"/>
              </w:rPr>
              <w:t>у</w:t>
            </w:r>
            <w:r>
              <w:rPr>
                <w:sz w:val="20"/>
                <w:szCs w:val="20"/>
                <w:lang w:val="sr-Cyrl-RS"/>
              </w:rPr>
              <w:t>, УНС</w:t>
            </w:r>
          </w:p>
        </w:tc>
        <w:tc>
          <w:tcPr>
            <w:tcW w:w="3495" w:type="dxa"/>
            <w:gridSpan w:val="3"/>
            <w:vAlign w:val="center"/>
          </w:tcPr>
          <w:p w:rsidR="00F436B9" w:rsidRPr="00F436B9" w:rsidRDefault="00F436B9" w:rsidP="00F436B9">
            <w:pPr>
              <w:pStyle w:val="NoSpacing"/>
              <w:rPr>
                <w:sz w:val="20"/>
                <w:szCs w:val="20"/>
                <w:lang w:val="sr-Cyrl-RS"/>
              </w:rPr>
            </w:pPr>
            <w:r w:rsidRPr="00F436B9">
              <w:rPr>
                <w:sz w:val="20"/>
                <w:szCs w:val="20"/>
                <w:lang w:val="sr-Cyrl-RS"/>
              </w:rPr>
              <w:t>Методика наставе физичког васпитања</w:t>
            </w:r>
          </w:p>
        </w:tc>
      </w:tr>
      <w:tr w:rsidR="00F436B9" w:rsidRPr="00F436B9" w:rsidTr="00F436B9">
        <w:trPr>
          <w:trHeight w:val="227"/>
        </w:trPr>
        <w:tc>
          <w:tcPr>
            <w:tcW w:w="2070" w:type="dxa"/>
            <w:gridSpan w:val="2"/>
            <w:vAlign w:val="center"/>
          </w:tcPr>
          <w:p w:rsidR="00F436B9" w:rsidRPr="00F436B9" w:rsidRDefault="00F436B9" w:rsidP="00F436B9">
            <w:pPr>
              <w:tabs>
                <w:tab w:val="left" w:pos="567"/>
              </w:tabs>
              <w:rPr>
                <w:sz w:val="20"/>
                <w:szCs w:val="20"/>
                <w:lang w:val="sr-Cyrl-CS"/>
              </w:rPr>
            </w:pPr>
            <w:r w:rsidRPr="00F436B9">
              <w:rPr>
                <w:sz w:val="20"/>
                <w:szCs w:val="20"/>
                <w:lang w:val="sr-Cyrl-CS"/>
              </w:rPr>
              <w:t>Докторат</w:t>
            </w:r>
          </w:p>
        </w:tc>
        <w:tc>
          <w:tcPr>
            <w:tcW w:w="900" w:type="dxa"/>
            <w:vAlign w:val="center"/>
          </w:tcPr>
          <w:p w:rsidR="00F436B9" w:rsidRPr="00F436B9" w:rsidRDefault="00F436B9" w:rsidP="00F436B9">
            <w:pPr>
              <w:pStyle w:val="NoSpacing"/>
              <w:rPr>
                <w:sz w:val="20"/>
                <w:szCs w:val="20"/>
              </w:rPr>
            </w:pPr>
            <w:r w:rsidRPr="00F436B9">
              <w:rPr>
                <w:sz w:val="20"/>
                <w:szCs w:val="20"/>
                <w:lang w:val="sr-Cyrl-RS"/>
              </w:rPr>
              <w:t>2017</w:t>
            </w:r>
            <w:r w:rsidRPr="00F436B9">
              <w:rPr>
                <w:sz w:val="20"/>
                <w:szCs w:val="20"/>
              </w:rPr>
              <w:t>.</w:t>
            </w:r>
          </w:p>
        </w:tc>
        <w:tc>
          <w:tcPr>
            <w:tcW w:w="3600" w:type="dxa"/>
            <w:gridSpan w:val="5"/>
            <w:shd w:val="clear" w:color="auto" w:fill="auto"/>
            <w:vAlign w:val="center"/>
          </w:tcPr>
          <w:p w:rsidR="00F436B9" w:rsidRPr="00F436B9" w:rsidRDefault="00F436B9" w:rsidP="00F436B9">
            <w:pPr>
              <w:pStyle w:val="NoSpacing"/>
              <w:rPr>
                <w:sz w:val="20"/>
                <w:szCs w:val="20"/>
              </w:rPr>
            </w:pPr>
            <w:proofErr w:type="spellStart"/>
            <w:r w:rsidRPr="00F436B9">
              <w:rPr>
                <w:sz w:val="20"/>
                <w:szCs w:val="20"/>
              </w:rPr>
              <w:t>Факултет</w:t>
            </w:r>
            <w:proofErr w:type="spellEnd"/>
            <w:r w:rsidRPr="00F436B9">
              <w:rPr>
                <w:sz w:val="20"/>
                <w:szCs w:val="20"/>
                <w:lang w:val="sr-Cyrl-RS"/>
              </w:rPr>
              <w:t xml:space="preserve"> спорта и физичког васпитања</w:t>
            </w:r>
            <w:r>
              <w:rPr>
                <w:sz w:val="20"/>
                <w:szCs w:val="20"/>
                <w:lang w:val="sr-Cyrl-RS"/>
              </w:rPr>
              <w:t>, УНС</w:t>
            </w:r>
          </w:p>
        </w:tc>
        <w:tc>
          <w:tcPr>
            <w:tcW w:w="3495" w:type="dxa"/>
            <w:gridSpan w:val="3"/>
            <w:vAlign w:val="center"/>
          </w:tcPr>
          <w:p w:rsidR="00F436B9" w:rsidRPr="00F436B9" w:rsidRDefault="00F436B9" w:rsidP="00F436B9">
            <w:pPr>
              <w:pStyle w:val="NoSpacing"/>
              <w:rPr>
                <w:sz w:val="20"/>
                <w:szCs w:val="20"/>
              </w:rPr>
            </w:pPr>
            <w:r w:rsidRPr="00F436B9">
              <w:rPr>
                <w:sz w:val="20"/>
                <w:szCs w:val="20"/>
                <w:lang w:val="sr-Cyrl-RS"/>
              </w:rPr>
              <w:t>Физичко васпитање и спорт</w:t>
            </w:r>
          </w:p>
        </w:tc>
      </w:tr>
      <w:tr w:rsidR="00F436B9" w:rsidRPr="00F436B9" w:rsidTr="00F436B9">
        <w:trPr>
          <w:trHeight w:val="227"/>
        </w:trPr>
        <w:tc>
          <w:tcPr>
            <w:tcW w:w="2070" w:type="dxa"/>
            <w:gridSpan w:val="2"/>
            <w:vAlign w:val="center"/>
          </w:tcPr>
          <w:p w:rsidR="00F436B9" w:rsidRPr="00F436B9" w:rsidRDefault="00F436B9" w:rsidP="00F436B9">
            <w:pPr>
              <w:tabs>
                <w:tab w:val="left" w:pos="567"/>
              </w:tabs>
              <w:rPr>
                <w:sz w:val="20"/>
                <w:szCs w:val="20"/>
                <w:lang w:val="sr-Cyrl-RS"/>
              </w:rPr>
            </w:pPr>
            <w:r w:rsidRPr="00F436B9">
              <w:rPr>
                <w:sz w:val="20"/>
                <w:szCs w:val="20"/>
                <w:lang w:val="sr-Cyrl-RS"/>
              </w:rPr>
              <w:t>Мастер</w:t>
            </w:r>
          </w:p>
        </w:tc>
        <w:tc>
          <w:tcPr>
            <w:tcW w:w="900" w:type="dxa"/>
            <w:vAlign w:val="center"/>
          </w:tcPr>
          <w:p w:rsidR="00F436B9" w:rsidRPr="00F436B9" w:rsidRDefault="00F436B9" w:rsidP="00F436B9">
            <w:pPr>
              <w:pStyle w:val="NoSpacing"/>
              <w:rPr>
                <w:sz w:val="20"/>
                <w:szCs w:val="20"/>
                <w:lang w:val="sr-Cyrl-RS"/>
              </w:rPr>
            </w:pPr>
            <w:r w:rsidRPr="00F436B9">
              <w:rPr>
                <w:sz w:val="20"/>
                <w:szCs w:val="20"/>
                <w:lang w:val="sr-Cyrl-RS"/>
              </w:rPr>
              <w:t>2011.</w:t>
            </w:r>
          </w:p>
        </w:tc>
        <w:tc>
          <w:tcPr>
            <w:tcW w:w="3600" w:type="dxa"/>
            <w:gridSpan w:val="5"/>
            <w:shd w:val="clear" w:color="auto" w:fill="auto"/>
            <w:vAlign w:val="center"/>
          </w:tcPr>
          <w:p w:rsidR="00F436B9" w:rsidRPr="00F436B9" w:rsidRDefault="00F436B9" w:rsidP="00F436B9">
            <w:pPr>
              <w:pStyle w:val="NoSpacing"/>
              <w:rPr>
                <w:sz w:val="20"/>
                <w:szCs w:val="20"/>
                <w:lang w:val="sr-Cyrl-RS"/>
              </w:rPr>
            </w:pPr>
            <w:proofErr w:type="spellStart"/>
            <w:r w:rsidRPr="00F436B9">
              <w:rPr>
                <w:sz w:val="20"/>
                <w:szCs w:val="20"/>
              </w:rPr>
              <w:t>Педагошки</w:t>
            </w:r>
            <w:proofErr w:type="spellEnd"/>
            <w:r w:rsidRPr="00F436B9">
              <w:rPr>
                <w:sz w:val="20"/>
                <w:szCs w:val="20"/>
              </w:rPr>
              <w:t xml:space="preserve"> </w:t>
            </w:r>
            <w:proofErr w:type="spellStart"/>
            <w:r w:rsidRPr="00F436B9">
              <w:rPr>
                <w:sz w:val="20"/>
                <w:szCs w:val="20"/>
              </w:rPr>
              <w:t>факултет</w:t>
            </w:r>
            <w:proofErr w:type="spellEnd"/>
            <w:r w:rsidRPr="00F436B9">
              <w:rPr>
                <w:sz w:val="20"/>
                <w:szCs w:val="20"/>
              </w:rPr>
              <w:t xml:space="preserve"> </w:t>
            </w:r>
            <w:r w:rsidRPr="00F436B9">
              <w:rPr>
                <w:sz w:val="20"/>
                <w:szCs w:val="20"/>
                <w:lang w:val="sr-Cyrl-RS"/>
              </w:rPr>
              <w:t xml:space="preserve"> у </w:t>
            </w:r>
            <w:proofErr w:type="spellStart"/>
            <w:r w:rsidRPr="00F436B9">
              <w:rPr>
                <w:sz w:val="20"/>
                <w:szCs w:val="20"/>
              </w:rPr>
              <w:t>Сомбор</w:t>
            </w:r>
            <w:proofErr w:type="spellEnd"/>
            <w:r w:rsidRPr="00F436B9">
              <w:rPr>
                <w:sz w:val="20"/>
                <w:szCs w:val="20"/>
                <w:lang w:val="sr-Cyrl-RS"/>
              </w:rPr>
              <w:t>у</w:t>
            </w:r>
            <w:r>
              <w:rPr>
                <w:sz w:val="20"/>
                <w:szCs w:val="20"/>
                <w:lang w:val="sr-Cyrl-RS"/>
              </w:rPr>
              <w:t>, УНС</w:t>
            </w:r>
          </w:p>
        </w:tc>
        <w:tc>
          <w:tcPr>
            <w:tcW w:w="3495" w:type="dxa"/>
            <w:gridSpan w:val="3"/>
            <w:vAlign w:val="center"/>
          </w:tcPr>
          <w:p w:rsidR="00F436B9" w:rsidRPr="00F436B9" w:rsidRDefault="00F436B9" w:rsidP="00F436B9">
            <w:pPr>
              <w:pStyle w:val="NoSpacing"/>
              <w:rPr>
                <w:sz w:val="20"/>
                <w:szCs w:val="20"/>
                <w:lang w:val="sr-Cyrl-RS"/>
              </w:rPr>
            </w:pPr>
            <w:r w:rsidRPr="00F436B9">
              <w:rPr>
                <w:sz w:val="20"/>
                <w:szCs w:val="20"/>
                <w:lang w:val="sr-Cyrl-RS"/>
              </w:rPr>
              <w:t>Педагошке науке</w:t>
            </w:r>
          </w:p>
        </w:tc>
      </w:tr>
      <w:tr w:rsidR="00F436B9" w:rsidRPr="00F436B9" w:rsidTr="00F436B9">
        <w:trPr>
          <w:trHeight w:val="227"/>
        </w:trPr>
        <w:tc>
          <w:tcPr>
            <w:tcW w:w="2070" w:type="dxa"/>
            <w:gridSpan w:val="2"/>
            <w:vAlign w:val="center"/>
          </w:tcPr>
          <w:p w:rsidR="00F436B9" w:rsidRPr="00F436B9" w:rsidRDefault="00F436B9" w:rsidP="00F436B9">
            <w:pPr>
              <w:tabs>
                <w:tab w:val="left" w:pos="567"/>
              </w:tabs>
              <w:rPr>
                <w:sz w:val="20"/>
                <w:szCs w:val="20"/>
                <w:lang w:val="sr-Cyrl-CS"/>
              </w:rPr>
            </w:pPr>
            <w:r w:rsidRPr="00F436B9">
              <w:rPr>
                <w:sz w:val="20"/>
                <w:szCs w:val="20"/>
                <w:lang w:val="sr-Cyrl-CS"/>
              </w:rPr>
              <w:t>Диплома</w:t>
            </w:r>
          </w:p>
        </w:tc>
        <w:tc>
          <w:tcPr>
            <w:tcW w:w="900" w:type="dxa"/>
            <w:vAlign w:val="center"/>
          </w:tcPr>
          <w:p w:rsidR="00F436B9" w:rsidRPr="00F436B9" w:rsidRDefault="00F436B9" w:rsidP="00F436B9">
            <w:pPr>
              <w:pStyle w:val="NoSpacing"/>
              <w:rPr>
                <w:sz w:val="20"/>
                <w:szCs w:val="20"/>
              </w:rPr>
            </w:pPr>
            <w:r w:rsidRPr="00F436B9">
              <w:rPr>
                <w:sz w:val="20"/>
                <w:szCs w:val="20"/>
                <w:lang w:val="sr-Cyrl-RS"/>
              </w:rPr>
              <w:t>2002</w:t>
            </w:r>
            <w:r w:rsidRPr="00F436B9">
              <w:rPr>
                <w:sz w:val="20"/>
                <w:szCs w:val="20"/>
              </w:rPr>
              <w:t>.</w:t>
            </w:r>
          </w:p>
        </w:tc>
        <w:tc>
          <w:tcPr>
            <w:tcW w:w="3600" w:type="dxa"/>
            <w:gridSpan w:val="5"/>
            <w:shd w:val="clear" w:color="auto" w:fill="auto"/>
            <w:vAlign w:val="center"/>
          </w:tcPr>
          <w:p w:rsidR="00F436B9" w:rsidRPr="00F436B9" w:rsidRDefault="00F436B9" w:rsidP="00F436B9">
            <w:pPr>
              <w:pStyle w:val="NoSpacing"/>
              <w:rPr>
                <w:sz w:val="20"/>
                <w:szCs w:val="20"/>
                <w:lang w:val="sr-Cyrl-RS"/>
              </w:rPr>
            </w:pPr>
            <w:r w:rsidRPr="00F436B9">
              <w:rPr>
                <w:sz w:val="20"/>
                <w:szCs w:val="20"/>
                <w:lang w:val="sr-Cyrl-RS"/>
              </w:rPr>
              <w:t>Учитељски факултет у Сомбору</w:t>
            </w:r>
            <w:r>
              <w:rPr>
                <w:sz w:val="20"/>
                <w:szCs w:val="20"/>
                <w:lang w:val="sr-Cyrl-RS"/>
              </w:rPr>
              <w:t>, УНС</w:t>
            </w:r>
          </w:p>
        </w:tc>
        <w:tc>
          <w:tcPr>
            <w:tcW w:w="3495" w:type="dxa"/>
            <w:gridSpan w:val="3"/>
            <w:vAlign w:val="center"/>
          </w:tcPr>
          <w:p w:rsidR="00F436B9" w:rsidRPr="00F436B9" w:rsidRDefault="00F436B9" w:rsidP="00F436B9">
            <w:pPr>
              <w:pStyle w:val="NoSpacing"/>
              <w:rPr>
                <w:sz w:val="20"/>
                <w:szCs w:val="20"/>
                <w:lang w:val="sr-Cyrl-RS"/>
              </w:rPr>
            </w:pPr>
            <w:r w:rsidRPr="00F436B9">
              <w:rPr>
                <w:sz w:val="20"/>
                <w:szCs w:val="20"/>
                <w:lang w:val="sr-Cyrl-RS"/>
              </w:rPr>
              <w:t>Педагошке науке</w:t>
            </w:r>
          </w:p>
        </w:tc>
      </w:tr>
      <w:tr w:rsidR="00F436B9" w:rsidRPr="002B42F1" w:rsidTr="002B42F1">
        <w:trPr>
          <w:trHeight w:val="227"/>
        </w:trPr>
        <w:tc>
          <w:tcPr>
            <w:tcW w:w="10065" w:type="dxa"/>
            <w:gridSpan w:val="11"/>
            <w:vAlign w:val="center"/>
          </w:tcPr>
          <w:p w:rsidR="00F436B9" w:rsidRPr="002B42F1" w:rsidRDefault="00F436B9" w:rsidP="002B42F1">
            <w:pPr>
              <w:widowControl w:val="0"/>
              <w:tabs>
                <w:tab w:val="left" w:pos="567"/>
              </w:tabs>
              <w:autoSpaceDE w:val="0"/>
              <w:autoSpaceDN w:val="0"/>
              <w:adjustRightInd w:val="0"/>
              <w:spacing w:after="60"/>
              <w:rPr>
                <w:rFonts w:eastAsia="Times New Roman"/>
                <w:sz w:val="20"/>
                <w:szCs w:val="20"/>
                <w:lang w:val="sr-Cyrl-CS" w:eastAsia="sr-Latn-CS"/>
              </w:rPr>
            </w:pPr>
            <w:r w:rsidRPr="002B42F1">
              <w:rPr>
                <w:rFonts w:eastAsia="Times New Roman"/>
                <w:b/>
                <w:sz w:val="20"/>
                <w:szCs w:val="20"/>
                <w:lang w:val="sr-Cyrl-CS" w:eastAsia="sr-Latn-CS"/>
              </w:rPr>
              <w:t>Списак дисертација-докторских уметничких пројеката у којима је наставн</w:t>
            </w:r>
            <w:r w:rsidRPr="002B42F1">
              <w:rPr>
                <w:rFonts w:eastAsia="Times New Roman"/>
                <w:b/>
                <w:sz w:val="20"/>
                <w:szCs w:val="20"/>
                <w:lang w:val="sr-Cyrl-RS" w:eastAsia="sr-Latn-CS"/>
              </w:rPr>
              <w:t>и</w:t>
            </w:r>
            <w:r w:rsidRPr="002B42F1">
              <w:rPr>
                <w:rFonts w:eastAsia="Times New Roman"/>
                <w:b/>
                <w:sz w:val="20"/>
                <w:szCs w:val="20"/>
                <w:lang w:val="sr-Cyrl-CS" w:eastAsia="sr-Latn-CS"/>
              </w:rPr>
              <w:t>к ментор или је био ментор у претходних 10 година</w:t>
            </w:r>
          </w:p>
        </w:tc>
      </w:tr>
      <w:tr w:rsidR="00F436B9" w:rsidRPr="002B42F1" w:rsidTr="002B42F1">
        <w:trPr>
          <w:trHeight w:val="227"/>
        </w:trPr>
        <w:tc>
          <w:tcPr>
            <w:tcW w:w="567" w:type="dxa"/>
            <w:vAlign w:val="center"/>
          </w:tcPr>
          <w:p w:rsidR="00F436B9" w:rsidRPr="002B42F1" w:rsidRDefault="00F436B9" w:rsidP="002B42F1">
            <w:pPr>
              <w:tabs>
                <w:tab w:val="left" w:pos="567"/>
              </w:tabs>
              <w:spacing w:after="60"/>
              <w:rPr>
                <w:sz w:val="20"/>
                <w:szCs w:val="20"/>
                <w:lang w:val="sr-Cyrl-CS"/>
              </w:rPr>
            </w:pPr>
            <w:r w:rsidRPr="002B42F1">
              <w:rPr>
                <w:sz w:val="20"/>
                <w:szCs w:val="20"/>
                <w:lang w:val="sr-Cyrl-CS"/>
              </w:rPr>
              <w:t>Р.Б.</w:t>
            </w:r>
          </w:p>
        </w:tc>
        <w:tc>
          <w:tcPr>
            <w:tcW w:w="2702" w:type="dxa"/>
            <w:gridSpan w:val="3"/>
            <w:vAlign w:val="center"/>
          </w:tcPr>
          <w:p w:rsidR="00F436B9" w:rsidRPr="002B42F1" w:rsidRDefault="00F436B9" w:rsidP="002B42F1">
            <w:pPr>
              <w:tabs>
                <w:tab w:val="left" w:pos="567"/>
              </w:tabs>
              <w:spacing w:after="60"/>
              <w:rPr>
                <w:sz w:val="20"/>
                <w:szCs w:val="20"/>
                <w:lang w:val="sr-Cyrl-CS"/>
              </w:rPr>
            </w:pPr>
            <w:r w:rsidRPr="002B42F1">
              <w:rPr>
                <w:sz w:val="20"/>
                <w:szCs w:val="20"/>
                <w:lang w:val="sr-Cyrl-CS"/>
              </w:rPr>
              <w:t>Наслов дисертације</w:t>
            </w:r>
          </w:p>
        </w:tc>
        <w:tc>
          <w:tcPr>
            <w:tcW w:w="2705" w:type="dxa"/>
            <w:gridSpan w:val="2"/>
            <w:vAlign w:val="center"/>
          </w:tcPr>
          <w:p w:rsidR="00F436B9" w:rsidRPr="002B42F1" w:rsidRDefault="00F436B9" w:rsidP="002B42F1">
            <w:pPr>
              <w:tabs>
                <w:tab w:val="left" w:pos="567"/>
              </w:tabs>
              <w:spacing w:after="60"/>
              <w:rPr>
                <w:sz w:val="20"/>
                <w:szCs w:val="20"/>
                <w:lang w:val="sr-Cyrl-CS"/>
              </w:rPr>
            </w:pPr>
            <w:r w:rsidRPr="002B42F1">
              <w:rPr>
                <w:sz w:val="20"/>
                <w:szCs w:val="20"/>
                <w:lang w:val="sr-Cyrl-CS"/>
              </w:rPr>
              <w:t>Име кандидата</w:t>
            </w:r>
          </w:p>
        </w:tc>
        <w:tc>
          <w:tcPr>
            <w:tcW w:w="1688" w:type="dxa"/>
            <w:gridSpan w:val="3"/>
            <w:vAlign w:val="center"/>
          </w:tcPr>
          <w:p w:rsidR="00F436B9" w:rsidRPr="002B42F1" w:rsidRDefault="00F436B9" w:rsidP="002B42F1">
            <w:pPr>
              <w:tabs>
                <w:tab w:val="left" w:pos="567"/>
              </w:tabs>
              <w:spacing w:after="60"/>
              <w:rPr>
                <w:sz w:val="20"/>
                <w:szCs w:val="20"/>
                <w:lang w:val="sr-Cyrl-CS"/>
              </w:rPr>
            </w:pPr>
            <w:r w:rsidRPr="002B42F1">
              <w:rPr>
                <w:sz w:val="20"/>
                <w:szCs w:val="20"/>
                <w:lang w:val="sr-Cyrl-CS"/>
              </w:rPr>
              <w:t xml:space="preserve">*пријављена </w:t>
            </w:r>
          </w:p>
        </w:tc>
        <w:tc>
          <w:tcPr>
            <w:tcW w:w="2403" w:type="dxa"/>
            <w:gridSpan w:val="2"/>
            <w:vAlign w:val="center"/>
          </w:tcPr>
          <w:p w:rsidR="00F436B9" w:rsidRPr="002B42F1" w:rsidRDefault="00F436B9" w:rsidP="002B42F1">
            <w:pPr>
              <w:tabs>
                <w:tab w:val="left" w:pos="567"/>
              </w:tabs>
              <w:spacing w:after="60"/>
              <w:rPr>
                <w:sz w:val="20"/>
                <w:szCs w:val="20"/>
                <w:lang w:val="sr-Cyrl-CS"/>
              </w:rPr>
            </w:pPr>
            <w:r w:rsidRPr="002B42F1">
              <w:rPr>
                <w:sz w:val="20"/>
                <w:szCs w:val="20"/>
                <w:lang w:val="sr-Cyrl-CS"/>
              </w:rPr>
              <w:t>** одбрањена</w:t>
            </w:r>
          </w:p>
        </w:tc>
      </w:tr>
      <w:tr w:rsidR="00F436B9" w:rsidRPr="002B42F1" w:rsidTr="002B42F1">
        <w:trPr>
          <w:trHeight w:val="227"/>
        </w:trPr>
        <w:tc>
          <w:tcPr>
            <w:tcW w:w="567" w:type="dxa"/>
            <w:vAlign w:val="center"/>
          </w:tcPr>
          <w:p w:rsidR="00F436B9" w:rsidRPr="002B42F1" w:rsidRDefault="00F436B9" w:rsidP="002B42F1">
            <w:pPr>
              <w:tabs>
                <w:tab w:val="left" w:pos="567"/>
              </w:tabs>
              <w:spacing w:after="60"/>
              <w:rPr>
                <w:sz w:val="20"/>
                <w:szCs w:val="20"/>
              </w:rPr>
            </w:pPr>
          </w:p>
        </w:tc>
        <w:tc>
          <w:tcPr>
            <w:tcW w:w="2702" w:type="dxa"/>
            <w:gridSpan w:val="3"/>
            <w:vAlign w:val="center"/>
          </w:tcPr>
          <w:p w:rsidR="00F436B9" w:rsidRPr="002B42F1" w:rsidRDefault="00F436B9" w:rsidP="002B42F1">
            <w:pPr>
              <w:tabs>
                <w:tab w:val="left" w:pos="567"/>
              </w:tabs>
              <w:spacing w:after="60"/>
              <w:rPr>
                <w:sz w:val="20"/>
                <w:szCs w:val="20"/>
                <w:lang w:val="sr-Cyrl-CS"/>
              </w:rPr>
            </w:pPr>
          </w:p>
        </w:tc>
        <w:tc>
          <w:tcPr>
            <w:tcW w:w="2705" w:type="dxa"/>
            <w:gridSpan w:val="2"/>
            <w:vAlign w:val="center"/>
          </w:tcPr>
          <w:p w:rsidR="00F436B9" w:rsidRPr="002B42F1" w:rsidRDefault="00F436B9" w:rsidP="002B42F1">
            <w:pPr>
              <w:tabs>
                <w:tab w:val="left" w:pos="567"/>
              </w:tabs>
              <w:spacing w:after="60"/>
              <w:rPr>
                <w:sz w:val="20"/>
                <w:szCs w:val="20"/>
                <w:lang w:val="sr-Cyrl-CS"/>
              </w:rPr>
            </w:pPr>
          </w:p>
        </w:tc>
        <w:tc>
          <w:tcPr>
            <w:tcW w:w="1688" w:type="dxa"/>
            <w:gridSpan w:val="3"/>
            <w:vAlign w:val="center"/>
          </w:tcPr>
          <w:p w:rsidR="00F436B9" w:rsidRPr="002B42F1" w:rsidRDefault="00F436B9" w:rsidP="002B42F1">
            <w:pPr>
              <w:tabs>
                <w:tab w:val="left" w:pos="567"/>
              </w:tabs>
              <w:spacing w:after="60"/>
              <w:rPr>
                <w:sz w:val="20"/>
                <w:szCs w:val="20"/>
                <w:lang w:val="sr-Cyrl-CS"/>
              </w:rPr>
            </w:pPr>
          </w:p>
        </w:tc>
        <w:tc>
          <w:tcPr>
            <w:tcW w:w="2403" w:type="dxa"/>
            <w:gridSpan w:val="2"/>
            <w:vAlign w:val="center"/>
          </w:tcPr>
          <w:p w:rsidR="00F436B9" w:rsidRPr="002B42F1" w:rsidRDefault="00F436B9" w:rsidP="002B42F1">
            <w:pPr>
              <w:tabs>
                <w:tab w:val="left" w:pos="567"/>
              </w:tabs>
              <w:spacing w:after="60"/>
              <w:jc w:val="center"/>
              <w:rPr>
                <w:sz w:val="20"/>
                <w:szCs w:val="20"/>
                <w:lang w:val="sr-Cyrl-CS"/>
              </w:rPr>
            </w:pPr>
          </w:p>
        </w:tc>
      </w:tr>
      <w:tr w:rsidR="00F436B9" w:rsidRPr="00B85A64" w:rsidTr="002B42F1">
        <w:trPr>
          <w:trHeight w:val="227"/>
        </w:trPr>
        <w:tc>
          <w:tcPr>
            <w:tcW w:w="10065" w:type="dxa"/>
            <w:gridSpan w:val="11"/>
            <w:vAlign w:val="center"/>
          </w:tcPr>
          <w:p w:rsidR="00F436B9" w:rsidRPr="00B85A64" w:rsidRDefault="00F436B9" w:rsidP="002B42F1">
            <w:pPr>
              <w:widowControl w:val="0"/>
              <w:tabs>
                <w:tab w:val="left" w:pos="567"/>
              </w:tabs>
              <w:autoSpaceDE w:val="0"/>
              <w:autoSpaceDN w:val="0"/>
              <w:adjustRightInd w:val="0"/>
              <w:spacing w:after="60"/>
              <w:rPr>
                <w:rFonts w:eastAsia="Times New Roman"/>
                <w:sz w:val="16"/>
                <w:szCs w:val="16"/>
                <w:lang w:val="sr-Cyrl-CS" w:eastAsia="sr-Latn-CS"/>
              </w:rPr>
            </w:pPr>
            <w:r w:rsidRPr="00B85A64">
              <w:rPr>
                <w:rFonts w:eastAsia="Times New Roman"/>
                <w:sz w:val="16"/>
                <w:szCs w:val="16"/>
                <w:lang w:val="sr-Cyrl-CS" w:eastAsia="sr-Latn-CS"/>
              </w:rPr>
              <w:t>*Година  у којој је дисертација-докторски уметнички пројекат  пријављена-пријављен (само за дисертације-докторске уметничке пројекте  које су у току), ** Година у којој је дисертација-докторски уметнички пројекат  одбрањена (само за дисертације-докторско уметничке пројекте  из ранијег периода)</w:t>
            </w:r>
          </w:p>
        </w:tc>
      </w:tr>
      <w:tr w:rsidR="00F436B9" w:rsidRPr="00B85A64" w:rsidTr="002B42F1">
        <w:trPr>
          <w:trHeight w:val="227"/>
        </w:trPr>
        <w:tc>
          <w:tcPr>
            <w:tcW w:w="10065" w:type="dxa"/>
            <w:gridSpan w:val="11"/>
            <w:vAlign w:val="center"/>
          </w:tcPr>
          <w:p w:rsidR="00F436B9" w:rsidRPr="00B85A64" w:rsidRDefault="00F436B9" w:rsidP="002B42F1">
            <w:pPr>
              <w:widowControl w:val="0"/>
              <w:tabs>
                <w:tab w:val="left" w:pos="567"/>
              </w:tabs>
              <w:autoSpaceDE w:val="0"/>
              <w:autoSpaceDN w:val="0"/>
              <w:adjustRightInd w:val="0"/>
              <w:spacing w:after="60"/>
              <w:rPr>
                <w:rFonts w:eastAsia="Times New Roman"/>
                <w:b/>
                <w:sz w:val="16"/>
                <w:szCs w:val="16"/>
                <w:lang w:val="sr-Latn-CS" w:eastAsia="sr-Latn-CS"/>
              </w:rPr>
            </w:pPr>
            <w:r w:rsidRPr="00B85A64">
              <w:rPr>
                <w:rFonts w:eastAsia="Times New Roman"/>
                <w:b/>
                <w:sz w:val="16"/>
                <w:szCs w:val="16"/>
                <w:lang w:val="sr-Latn-CS" w:eastAsia="sr-Latn-CS"/>
              </w:rPr>
              <w:t>Категоризација публикације научних радова  из области датог студијског програма  према класификацији ресорног Министарства просвете, науке и технолошког развоја  а у складу са допунским захтевевима  стандарда за дато поље (минимално 5 не више од 20)</w:t>
            </w:r>
          </w:p>
          <w:p w:rsidR="00F436B9" w:rsidRPr="00B85A64" w:rsidRDefault="00F436B9" w:rsidP="002B42F1">
            <w:pPr>
              <w:widowControl w:val="0"/>
              <w:tabs>
                <w:tab w:val="left" w:pos="567"/>
              </w:tabs>
              <w:autoSpaceDE w:val="0"/>
              <w:autoSpaceDN w:val="0"/>
              <w:adjustRightInd w:val="0"/>
              <w:spacing w:after="60"/>
              <w:rPr>
                <w:rFonts w:eastAsia="Times New Roman"/>
                <w:b/>
                <w:sz w:val="16"/>
                <w:szCs w:val="16"/>
                <w:lang w:val="sr-Cyrl-CS" w:eastAsia="sr-Latn-CS"/>
              </w:rPr>
            </w:pPr>
            <w:r w:rsidRPr="00B85A64">
              <w:rPr>
                <w:rFonts w:eastAsia="Times New Roman"/>
                <w:b/>
                <w:sz w:val="16"/>
                <w:szCs w:val="16"/>
                <w:lang w:val="sr-Latn-CS" w:eastAsia="sr-Latn-CS"/>
              </w:rPr>
              <w:t>Категоризација публикације уметничких референци  из области датог студијског програма  према класификацији  из Упутства  за припрему документације  за акредитацију студијског програма а у складу са допунским захтевевима  стандарда за дато поље  (минимално 5 не више од 20)</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1.</w:t>
            </w:r>
          </w:p>
        </w:tc>
        <w:tc>
          <w:tcPr>
            <w:tcW w:w="8703" w:type="dxa"/>
            <w:gridSpan w:val="9"/>
            <w:shd w:val="clear" w:color="auto" w:fill="auto"/>
            <w:vAlign w:val="center"/>
          </w:tcPr>
          <w:p w:rsidR="00F436B9" w:rsidRPr="002A193B" w:rsidRDefault="00F436B9" w:rsidP="00F436B9">
            <w:pPr>
              <w:pStyle w:val="NoSpacing"/>
              <w:rPr>
                <w:sz w:val="20"/>
                <w:szCs w:val="20"/>
              </w:rPr>
            </w:pPr>
            <w:r w:rsidRPr="002A193B">
              <w:rPr>
                <w:sz w:val="20"/>
                <w:szCs w:val="20"/>
                <w:lang w:val="sr-Cyrl-CS"/>
              </w:rPr>
              <w:t xml:space="preserve">Cvejic, D., &amp; Ostojić, S. (2017). Effects of the FITT program on physical activity and health-related fitness in primary school age children. </w:t>
            </w:r>
            <w:r w:rsidRPr="002A193B">
              <w:rPr>
                <w:i/>
                <w:sz w:val="20"/>
                <w:szCs w:val="20"/>
                <w:lang w:val="sr-Cyrl-CS"/>
              </w:rPr>
              <w:t>Facta Universitatis, Series: Physical Education and Sport, 15</w:t>
            </w:r>
            <w:r w:rsidRPr="002A193B">
              <w:rPr>
                <w:sz w:val="20"/>
                <w:szCs w:val="20"/>
                <w:lang w:val="sr-Cyrl-CS"/>
              </w:rPr>
              <w:t>(3), 437-451.</w:t>
            </w:r>
          </w:p>
        </w:tc>
        <w:tc>
          <w:tcPr>
            <w:tcW w:w="795" w:type="dxa"/>
            <w:vAlign w:val="center"/>
          </w:tcPr>
          <w:p w:rsidR="00F436B9" w:rsidRPr="00F436B9" w:rsidRDefault="00F436B9" w:rsidP="00F436B9">
            <w:pPr>
              <w:tabs>
                <w:tab w:val="left" w:pos="567"/>
              </w:tabs>
              <w:jc w:val="center"/>
              <w:rPr>
                <w:sz w:val="20"/>
                <w:szCs w:val="20"/>
                <w:lang w:val="sr-Cyrl-RS"/>
              </w:rPr>
            </w:pPr>
            <w:r w:rsidRPr="00F436B9">
              <w:rPr>
                <w:sz w:val="20"/>
                <w:szCs w:val="20"/>
              </w:rPr>
              <w:t>M</w:t>
            </w:r>
            <w:r w:rsidRPr="00F436B9">
              <w:rPr>
                <w:sz w:val="20"/>
                <w:szCs w:val="20"/>
                <w:lang w:val="sr-Cyrl-RS"/>
              </w:rPr>
              <w:t>24</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2.</w:t>
            </w:r>
          </w:p>
        </w:tc>
        <w:tc>
          <w:tcPr>
            <w:tcW w:w="8703" w:type="dxa"/>
            <w:gridSpan w:val="9"/>
            <w:shd w:val="clear" w:color="auto" w:fill="auto"/>
            <w:vAlign w:val="center"/>
          </w:tcPr>
          <w:p w:rsidR="00F436B9" w:rsidRPr="002A193B" w:rsidRDefault="00F436B9" w:rsidP="00F436B9">
            <w:pPr>
              <w:pStyle w:val="NoSpacing"/>
              <w:rPr>
                <w:sz w:val="20"/>
                <w:szCs w:val="20"/>
              </w:rPr>
            </w:pPr>
            <w:r w:rsidRPr="002A193B">
              <w:rPr>
                <w:sz w:val="20"/>
                <w:szCs w:val="20"/>
                <w:lang w:val="sr-Cyrl-CS"/>
              </w:rPr>
              <w:t>Cvejić</w:t>
            </w:r>
            <w:r w:rsidRPr="002A193B">
              <w:rPr>
                <w:sz w:val="20"/>
                <w:szCs w:val="20"/>
              </w:rPr>
              <w:t>,</w:t>
            </w:r>
            <w:r w:rsidRPr="002A193B">
              <w:rPr>
                <w:sz w:val="20"/>
                <w:szCs w:val="20"/>
                <w:lang w:val="sr-Cyrl-CS"/>
              </w:rPr>
              <w:t xml:space="preserve"> D., Pejović</w:t>
            </w:r>
            <w:r w:rsidRPr="002A193B">
              <w:rPr>
                <w:sz w:val="20"/>
                <w:szCs w:val="20"/>
              </w:rPr>
              <w:t>,</w:t>
            </w:r>
            <w:r w:rsidRPr="002A193B">
              <w:rPr>
                <w:sz w:val="20"/>
                <w:szCs w:val="20"/>
                <w:lang w:val="sr-Cyrl-CS"/>
              </w:rPr>
              <w:t xml:space="preserve"> T. </w:t>
            </w:r>
            <w:r w:rsidRPr="002A193B">
              <w:rPr>
                <w:sz w:val="20"/>
                <w:szCs w:val="20"/>
              </w:rPr>
              <w:t>&amp;</w:t>
            </w:r>
            <w:r w:rsidRPr="002A193B">
              <w:rPr>
                <w:sz w:val="20"/>
                <w:szCs w:val="20"/>
                <w:lang w:val="sr-Cyrl-CS"/>
              </w:rPr>
              <w:t xml:space="preserve"> Ostojić</w:t>
            </w:r>
            <w:r w:rsidRPr="002A193B">
              <w:rPr>
                <w:sz w:val="20"/>
                <w:szCs w:val="20"/>
              </w:rPr>
              <w:t>,</w:t>
            </w:r>
            <w:r w:rsidRPr="002A193B">
              <w:rPr>
                <w:sz w:val="20"/>
                <w:szCs w:val="20"/>
                <w:lang w:val="sr-Cyrl-CS"/>
              </w:rPr>
              <w:t xml:space="preserve"> S. </w:t>
            </w:r>
            <w:r w:rsidRPr="002A193B">
              <w:rPr>
                <w:sz w:val="20"/>
                <w:szCs w:val="20"/>
              </w:rPr>
              <w:t>(2013</w:t>
            </w:r>
            <w:r w:rsidRPr="002A193B">
              <w:rPr>
                <w:sz w:val="20"/>
                <w:szCs w:val="20"/>
                <w:lang w:val="sr-Cyrl-CS"/>
              </w:rPr>
              <w:t>)</w:t>
            </w:r>
            <w:r w:rsidRPr="002A193B">
              <w:rPr>
                <w:sz w:val="20"/>
                <w:szCs w:val="20"/>
              </w:rPr>
              <w:t>.</w:t>
            </w:r>
            <w:r w:rsidRPr="002A193B">
              <w:rPr>
                <w:sz w:val="20"/>
                <w:szCs w:val="20"/>
                <w:lang w:val="sr-Cyrl-CS"/>
              </w:rPr>
              <w:t xml:space="preserve"> Assessment of physical fitness in children and adolescents</w:t>
            </w:r>
            <w:r w:rsidRPr="002A193B">
              <w:rPr>
                <w:sz w:val="20"/>
                <w:szCs w:val="20"/>
              </w:rPr>
              <w:t>.</w:t>
            </w:r>
            <w:r w:rsidRPr="002A193B">
              <w:rPr>
                <w:sz w:val="20"/>
                <w:szCs w:val="20"/>
                <w:lang w:val="sr-Cyrl-CS"/>
              </w:rPr>
              <w:t xml:space="preserve"> </w:t>
            </w:r>
            <w:r w:rsidRPr="002A193B">
              <w:rPr>
                <w:i/>
                <w:sz w:val="20"/>
                <w:szCs w:val="20"/>
                <w:lang w:val="sr-Cyrl-CS"/>
              </w:rPr>
              <w:t>Facta Universitatis Series Physical Education and Sport, 11</w:t>
            </w:r>
            <w:r w:rsidRPr="002A193B">
              <w:rPr>
                <w:sz w:val="20"/>
                <w:szCs w:val="20"/>
              </w:rPr>
              <w:t>(</w:t>
            </w:r>
            <w:r w:rsidRPr="002A193B">
              <w:rPr>
                <w:sz w:val="20"/>
                <w:szCs w:val="20"/>
                <w:lang w:val="sr-Cyrl-CS"/>
              </w:rPr>
              <w:t>2</w:t>
            </w:r>
            <w:r w:rsidRPr="002A193B">
              <w:rPr>
                <w:sz w:val="20"/>
                <w:szCs w:val="20"/>
              </w:rPr>
              <w:t>)</w:t>
            </w:r>
            <w:r w:rsidRPr="002A193B">
              <w:rPr>
                <w:sz w:val="20"/>
                <w:szCs w:val="20"/>
                <w:lang w:val="sr-Cyrl-CS"/>
              </w:rPr>
              <w:t>, 135-145</w:t>
            </w:r>
            <w:r w:rsidRPr="002A193B">
              <w:rPr>
                <w:sz w:val="20"/>
                <w:szCs w:val="20"/>
              </w:rPr>
              <w:t>.</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М24</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3.</w:t>
            </w:r>
          </w:p>
        </w:tc>
        <w:tc>
          <w:tcPr>
            <w:tcW w:w="8703" w:type="dxa"/>
            <w:gridSpan w:val="9"/>
            <w:shd w:val="clear" w:color="auto" w:fill="auto"/>
            <w:vAlign w:val="center"/>
          </w:tcPr>
          <w:p w:rsidR="00F436B9" w:rsidRPr="002A193B" w:rsidRDefault="00F436B9" w:rsidP="00F436B9">
            <w:pPr>
              <w:pStyle w:val="NoSpacing"/>
              <w:rPr>
                <w:sz w:val="20"/>
                <w:szCs w:val="20"/>
              </w:rPr>
            </w:pPr>
            <w:r w:rsidRPr="002A193B">
              <w:rPr>
                <w:sz w:val="20"/>
                <w:szCs w:val="20"/>
                <w:lang w:val="sr-Cyrl-CS"/>
              </w:rPr>
              <w:t xml:space="preserve">Цвејић, Д. </w:t>
            </w:r>
            <w:r w:rsidRPr="002A193B">
              <w:rPr>
                <w:sz w:val="20"/>
                <w:szCs w:val="20"/>
                <w:lang w:val="sr-Cyrl-RS"/>
              </w:rPr>
              <w:t>и</w:t>
            </w:r>
            <w:r w:rsidRPr="002A193B">
              <w:rPr>
                <w:sz w:val="20"/>
                <w:szCs w:val="20"/>
                <w:lang w:val="sr-Cyrl-CS"/>
              </w:rPr>
              <w:t xml:space="preserve"> Буишић, С. (2012). Интегрисање наставе у циљу повећања физичке активности деце. </w:t>
            </w:r>
            <w:r w:rsidRPr="002A193B">
              <w:rPr>
                <w:i/>
                <w:sz w:val="20"/>
                <w:szCs w:val="20"/>
                <w:lang w:val="sr-Cyrl-CS"/>
              </w:rPr>
              <w:t>Настава и васпитање, 16</w:t>
            </w:r>
            <w:r w:rsidRPr="002A193B">
              <w:rPr>
                <w:sz w:val="20"/>
                <w:szCs w:val="20"/>
                <w:lang w:val="sr-Cyrl-CS"/>
              </w:rPr>
              <w:t>(4), 754-765.</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М24</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4.</w:t>
            </w:r>
          </w:p>
        </w:tc>
        <w:tc>
          <w:tcPr>
            <w:tcW w:w="8703" w:type="dxa"/>
            <w:gridSpan w:val="9"/>
            <w:shd w:val="clear" w:color="auto" w:fill="auto"/>
            <w:vAlign w:val="center"/>
          </w:tcPr>
          <w:p w:rsidR="00F436B9" w:rsidRPr="002A193B" w:rsidRDefault="00F436B9" w:rsidP="00F436B9">
            <w:pPr>
              <w:pStyle w:val="NoSpacing"/>
              <w:rPr>
                <w:sz w:val="20"/>
                <w:szCs w:val="20"/>
              </w:rPr>
            </w:pPr>
            <w:r w:rsidRPr="002A193B">
              <w:rPr>
                <w:sz w:val="20"/>
                <w:szCs w:val="20"/>
                <w:lang w:val="sr-Cyrl-RS"/>
              </w:rPr>
              <w:t xml:space="preserve">Буишић, С., Цвејић, Д., Ћурувија, Д. (2016). Мотивација за наставу физичког васпитања ученика млађег школског узраста. </w:t>
            </w:r>
            <w:r w:rsidRPr="002A193B">
              <w:rPr>
                <w:i/>
                <w:sz w:val="20"/>
                <w:szCs w:val="20"/>
                <w:lang w:val="sr-Cyrl-RS"/>
              </w:rPr>
              <w:t>Настава и васпитање, 65</w:t>
            </w:r>
            <w:r w:rsidRPr="002A193B">
              <w:rPr>
                <w:sz w:val="20"/>
                <w:szCs w:val="20"/>
                <w:lang w:val="sr-Cyrl-RS"/>
              </w:rPr>
              <w:t>(2), 297-308.</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М24</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5.</w:t>
            </w:r>
          </w:p>
        </w:tc>
        <w:tc>
          <w:tcPr>
            <w:tcW w:w="8703" w:type="dxa"/>
            <w:gridSpan w:val="9"/>
            <w:shd w:val="clear" w:color="auto" w:fill="auto"/>
            <w:vAlign w:val="center"/>
          </w:tcPr>
          <w:p w:rsidR="00F436B9" w:rsidRPr="002A193B" w:rsidRDefault="00F436B9" w:rsidP="00F436B9">
            <w:pPr>
              <w:pStyle w:val="NoSpacing"/>
              <w:rPr>
                <w:sz w:val="20"/>
                <w:szCs w:val="20"/>
              </w:rPr>
            </w:pPr>
            <w:r w:rsidRPr="002A193B">
              <w:rPr>
                <w:sz w:val="20"/>
                <w:szCs w:val="20"/>
                <w:lang w:val="sr-Cyrl-CS"/>
              </w:rPr>
              <w:t xml:space="preserve">Buišić, S., Cvejić, D., Živković Vuković, J.A. i Pejović, T. (2013). </w:t>
            </w:r>
            <w:proofErr w:type="spellStart"/>
            <w:r w:rsidRPr="002A193B">
              <w:rPr>
                <w:sz w:val="20"/>
                <w:szCs w:val="20"/>
              </w:rPr>
              <w:t>Kvantitativne</w:t>
            </w:r>
            <w:proofErr w:type="spellEnd"/>
            <w:r w:rsidRPr="002A193B">
              <w:rPr>
                <w:sz w:val="20"/>
                <w:szCs w:val="20"/>
              </w:rPr>
              <w:t xml:space="preserve"> r</w:t>
            </w:r>
            <w:r w:rsidRPr="002A193B">
              <w:rPr>
                <w:sz w:val="20"/>
                <w:szCs w:val="20"/>
                <w:lang w:val="sr-Cyrl-CS"/>
              </w:rPr>
              <w:t xml:space="preserve">azlike </w:t>
            </w:r>
            <w:r w:rsidRPr="002A193B">
              <w:rPr>
                <w:sz w:val="20"/>
                <w:szCs w:val="20"/>
              </w:rPr>
              <w:t xml:space="preserve">u </w:t>
            </w:r>
            <w:proofErr w:type="spellStart"/>
            <w:r w:rsidRPr="002A193B">
              <w:rPr>
                <w:sz w:val="20"/>
                <w:szCs w:val="20"/>
              </w:rPr>
              <w:t>motoričkim</w:t>
            </w:r>
            <w:proofErr w:type="spellEnd"/>
            <w:r w:rsidRPr="002A193B">
              <w:rPr>
                <w:sz w:val="20"/>
                <w:szCs w:val="20"/>
              </w:rPr>
              <w:t xml:space="preserve"> </w:t>
            </w:r>
            <w:proofErr w:type="spellStart"/>
            <w:r w:rsidRPr="002A193B">
              <w:rPr>
                <w:sz w:val="20"/>
                <w:szCs w:val="20"/>
              </w:rPr>
              <w:t>sposobnostima</w:t>
            </w:r>
            <w:proofErr w:type="spellEnd"/>
            <w:r w:rsidRPr="002A193B">
              <w:rPr>
                <w:sz w:val="20"/>
                <w:szCs w:val="20"/>
              </w:rPr>
              <w:t xml:space="preserve"> </w:t>
            </w:r>
            <w:proofErr w:type="spellStart"/>
            <w:r w:rsidRPr="002A193B">
              <w:rPr>
                <w:sz w:val="20"/>
                <w:szCs w:val="20"/>
              </w:rPr>
              <w:t>i</w:t>
            </w:r>
            <w:proofErr w:type="spellEnd"/>
            <w:r w:rsidRPr="002A193B">
              <w:rPr>
                <w:sz w:val="20"/>
                <w:szCs w:val="20"/>
              </w:rPr>
              <w:t xml:space="preserve"> </w:t>
            </w:r>
            <w:r w:rsidRPr="002A193B">
              <w:rPr>
                <w:sz w:val="20"/>
                <w:szCs w:val="20"/>
                <w:lang w:val="sr-Cyrl-CS"/>
              </w:rPr>
              <w:t>osnovni</w:t>
            </w:r>
            <w:r w:rsidRPr="002A193B">
              <w:rPr>
                <w:sz w:val="20"/>
                <w:szCs w:val="20"/>
              </w:rPr>
              <w:t xml:space="preserve">m </w:t>
            </w:r>
            <w:proofErr w:type="spellStart"/>
            <w:r w:rsidRPr="002A193B">
              <w:rPr>
                <w:sz w:val="20"/>
                <w:szCs w:val="20"/>
              </w:rPr>
              <w:t>antropometrijskim</w:t>
            </w:r>
            <w:proofErr w:type="spellEnd"/>
            <w:r w:rsidRPr="002A193B">
              <w:rPr>
                <w:sz w:val="20"/>
                <w:szCs w:val="20"/>
              </w:rPr>
              <w:t xml:space="preserve"> </w:t>
            </w:r>
            <w:proofErr w:type="spellStart"/>
            <w:r w:rsidRPr="002A193B">
              <w:rPr>
                <w:sz w:val="20"/>
                <w:szCs w:val="20"/>
              </w:rPr>
              <w:t>karakteristikama</w:t>
            </w:r>
            <w:proofErr w:type="spellEnd"/>
            <w:r w:rsidRPr="002A193B">
              <w:rPr>
                <w:sz w:val="20"/>
                <w:szCs w:val="20"/>
              </w:rPr>
              <w:t xml:space="preserve"> </w:t>
            </w:r>
            <w:proofErr w:type="spellStart"/>
            <w:r w:rsidRPr="002A193B">
              <w:rPr>
                <w:sz w:val="20"/>
                <w:szCs w:val="20"/>
              </w:rPr>
              <w:t>dečaka</w:t>
            </w:r>
            <w:proofErr w:type="spellEnd"/>
            <w:r w:rsidRPr="002A193B">
              <w:rPr>
                <w:sz w:val="20"/>
                <w:szCs w:val="20"/>
              </w:rPr>
              <w:t xml:space="preserve"> </w:t>
            </w:r>
            <w:proofErr w:type="spellStart"/>
            <w:r w:rsidRPr="002A193B">
              <w:rPr>
                <w:sz w:val="20"/>
                <w:szCs w:val="20"/>
              </w:rPr>
              <w:t>i</w:t>
            </w:r>
            <w:proofErr w:type="spellEnd"/>
            <w:r w:rsidRPr="002A193B">
              <w:rPr>
                <w:sz w:val="20"/>
                <w:szCs w:val="20"/>
              </w:rPr>
              <w:t xml:space="preserve"> </w:t>
            </w:r>
            <w:proofErr w:type="spellStart"/>
            <w:r w:rsidRPr="002A193B">
              <w:rPr>
                <w:sz w:val="20"/>
                <w:szCs w:val="20"/>
              </w:rPr>
              <w:t>devojčica</w:t>
            </w:r>
            <w:proofErr w:type="spellEnd"/>
            <w:r w:rsidRPr="002A193B">
              <w:rPr>
                <w:sz w:val="20"/>
                <w:szCs w:val="20"/>
                <w:lang w:val="sr-Cyrl-CS"/>
              </w:rPr>
              <w:t xml:space="preserve"> </w:t>
            </w:r>
            <w:proofErr w:type="spellStart"/>
            <w:r w:rsidRPr="002A193B">
              <w:rPr>
                <w:sz w:val="20"/>
                <w:szCs w:val="20"/>
              </w:rPr>
              <w:t>četvrtog</w:t>
            </w:r>
            <w:proofErr w:type="spellEnd"/>
            <w:r w:rsidRPr="002A193B">
              <w:rPr>
                <w:sz w:val="20"/>
                <w:szCs w:val="20"/>
              </w:rPr>
              <w:t xml:space="preserve"> </w:t>
            </w:r>
            <w:r w:rsidRPr="002A193B">
              <w:rPr>
                <w:sz w:val="20"/>
                <w:szCs w:val="20"/>
                <w:lang w:val="sr-Cyrl-CS"/>
              </w:rPr>
              <w:t xml:space="preserve">razreda osnovne škole. </w:t>
            </w:r>
            <w:r w:rsidRPr="002A193B">
              <w:rPr>
                <w:i/>
                <w:sz w:val="20"/>
                <w:szCs w:val="20"/>
                <w:lang w:val="sr-Cyrl-CS"/>
              </w:rPr>
              <w:t>Glasnik antropološkog društva Srbije, 48,</w:t>
            </w:r>
            <w:r w:rsidRPr="002A193B">
              <w:rPr>
                <w:sz w:val="20"/>
                <w:szCs w:val="20"/>
                <w:lang w:val="sr-Cyrl-CS"/>
              </w:rPr>
              <w:t xml:space="preserve"> 121-127.</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М52</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6.</w:t>
            </w:r>
          </w:p>
        </w:tc>
        <w:tc>
          <w:tcPr>
            <w:tcW w:w="8703" w:type="dxa"/>
            <w:gridSpan w:val="9"/>
            <w:shd w:val="clear" w:color="auto" w:fill="auto"/>
            <w:vAlign w:val="center"/>
          </w:tcPr>
          <w:p w:rsidR="00F436B9" w:rsidRPr="002A193B" w:rsidRDefault="00F436B9" w:rsidP="00F436B9">
            <w:pPr>
              <w:pStyle w:val="NoSpacing"/>
              <w:rPr>
                <w:sz w:val="20"/>
                <w:szCs w:val="20"/>
              </w:rPr>
            </w:pPr>
            <w:r w:rsidRPr="002A193B">
              <w:rPr>
                <w:sz w:val="20"/>
                <w:szCs w:val="20"/>
                <w:lang w:val="sr-Cyrl-CS"/>
              </w:rPr>
              <w:t xml:space="preserve">Родић, Н. и Цвејић, Д. (2011). Утицај различитих методичких приступа на развој координације ученика трећих разреда основне школе. </w:t>
            </w:r>
            <w:r w:rsidRPr="002A193B">
              <w:rPr>
                <w:i/>
                <w:sz w:val="20"/>
                <w:szCs w:val="20"/>
                <w:lang w:val="sr-Cyrl-CS"/>
              </w:rPr>
              <w:t>Норма, 16(1)</w:t>
            </w:r>
            <w:r w:rsidRPr="002A193B">
              <w:rPr>
                <w:sz w:val="20"/>
                <w:szCs w:val="20"/>
                <w:lang w:val="sr-Cyrl-CS"/>
              </w:rPr>
              <w:t>, 67-79</w:t>
            </w:r>
            <w:r w:rsidRPr="002A193B">
              <w:rPr>
                <w:sz w:val="20"/>
                <w:szCs w:val="20"/>
              </w:rPr>
              <w:t>.</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М53</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7.</w:t>
            </w:r>
          </w:p>
        </w:tc>
        <w:tc>
          <w:tcPr>
            <w:tcW w:w="8703" w:type="dxa"/>
            <w:gridSpan w:val="9"/>
            <w:shd w:val="clear" w:color="auto" w:fill="auto"/>
            <w:vAlign w:val="center"/>
          </w:tcPr>
          <w:p w:rsidR="00F436B9" w:rsidRPr="002A193B" w:rsidRDefault="00F436B9" w:rsidP="00F436B9">
            <w:pPr>
              <w:pStyle w:val="NoSpacing"/>
              <w:rPr>
                <w:i/>
                <w:sz w:val="20"/>
                <w:szCs w:val="20"/>
              </w:rPr>
            </w:pPr>
            <w:r w:rsidRPr="002A193B">
              <w:rPr>
                <w:sz w:val="20"/>
                <w:szCs w:val="20"/>
                <w:lang w:val="sr-Cyrl-CS"/>
              </w:rPr>
              <w:t xml:space="preserve">Buišić, S., Cvejić, D. i Živković Vuković, J.A. (2013). Razlike u osnovnim antropometrijskim karakteristikama i motoričkim sposobnostima učenika četvrtog razreda osnovne škole u odnosu na mesto stanovanja. U zborniku </w:t>
            </w:r>
            <w:r w:rsidRPr="002A193B">
              <w:rPr>
                <w:i/>
                <w:sz w:val="20"/>
                <w:szCs w:val="20"/>
                <w:lang w:val="sr-Cyrl-CS"/>
              </w:rPr>
              <w:t xml:space="preserve">Efekti nastave metodike na kvalitetnije obrazovanje učitelja i vaspitača, </w:t>
            </w:r>
            <w:r w:rsidRPr="002A193B">
              <w:rPr>
                <w:sz w:val="20"/>
                <w:szCs w:val="20"/>
                <w:lang w:val="sr-Cyrl-CS"/>
              </w:rPr>
              <w:t>36-45. Subotica: Učiteljski fakultet na mađarskom nastavnom jeziku.</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М33</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Cyrl-CS"/>
              </w:rPr>
            </w:pPr>
            <w:r w:rsidRPr="00F436B9">
              <w:rPr>
                <w:sz w:val="20"/>
                <w:szCs w:val="20"/>
                <w:lang w:val="sr-Cyrl-CS"/>
              </w:rPr>
              <w:t>8.</w:t>
            </w:r>
          </w:p>
        </w:tc>
        <w:tc>
          <w:tcPr>
            <w:tcW w:w="8703" w:type="dxa"/>
            <w:gridSpan w:val="9"/>
            <w:shd w:val="clear" w:color="auto" w:fill="auto"/>
            <w:vAlign w:val="center"/>
          </w:tcPr>
          <w:p w:rsidR="00F436B9" w:rsidRPr="002A193B" w:rsidRDefault="00F436B9" w:rsidP="00F436B9">
            <w:pPr>
              <w:pStyle w:val="NoSpacing"/>
              <w:rPr>
                <w:i/>
                <w:sz w:val="20"/>
                <w:szCs w:val="20"/>
              </w:rPr>
            </w:pPr>
            <w:r w:rsidRPr="002A193B">
              <w:rPr>
                <w:sz w:val="20"/>
                <w:szCs w:val="20"/>
                <w:lang w:val="sr-Cyrl-CS"/>
              </w:rPr>
              <w:t xml:space="preserve">Pejović, T., Cvejić, D. i Buišić, S. (2013). Uticaj različitih metodičkih pristupa na razvoj eksplozivne snage učenika nižih razreda osnovne škole. U zborniku </w:t>
            </w:r>
            <w:r w:rsidRPr="002A193B">
              <w:rPr>
                <w:i/>
                <w:sz w:val="20"/>
                <w:szCs w:val="20"/>
                <w:lang w:val="sr-Cyrl-CS"/>
              </w:rPr>
              <w:t>Efekti nastave metodike na kvalitetnije obrazovanje učitelja i vaspitača,</w:t>
            </w:r>
            <w:r w:rsidRPr="002A193B">
              <w:rPr>
                <w:sz w:val="20"/>
                <w:szCs w:val="20"/>
                <w:lang w:val="sr-Cyrl-CS"/>
              </w:rPr>
              <w:t xml:space="preserve"> 182-190. Subotica: Učiteljski fakultet na mađarskom nastavnom jeziku.</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М33</w:t>
            </w:r>
          </w:p>
        </w:tc>
      </w:tr>
      <w:tr w:rsidR="00F436B9" w:rsidRPr="00F436B9" w:rsidTr="00B85A64">
        <w:trPr>
          <w:trHeight w:val="227"/>
        </w:trPr>
        <w:tc>
          <w:tcPr>
            <w:tcW w:w="567" w:type="dxa"/>
            <w:vAlign w:val="center"/>
          </w:tcPr>
          <w:p w:rsidR="00F436B9" w:rsidRPr="00F436B9" w:rsidRDefault="00F436B9" w:rsidP="00F436B9">
            <w:pPr>
              <w:tabs>
                <w:tab w:val="left" w:pos="567"/>
              </w:tabs>
              <w:rPr>
                <w:sz w:val="20"/>
                <w:szCs w:val="20"/>
                <w:lang w:val="sr-Latn-RS"/>
              </w:rPr>
            </w:pPr>
            <w:r w:rsidRPr="00F436B9">
              <w:rPr>
                <w:sz w:val="20"/>
                <w:szCs w:val="20"/>
                <w:lang w:val="sr-Latn-RS"/>
              </w:rPr>
              <w:t>9.</w:t>
            </w:r>
          </w:p>
        </w:tc>
        <w:tc>
          <w:tcPr>
            <w:tcW w:w="8703" w:type="dxa"/>
            <w:gridSpan w:val="9"/>
            <w:shd w:val="clear" w:color="auto" w:fill="auto"/>
            <w:vAlign w:val="center"/>
          </w:tcPr>
          <w:p w:rsidR="00F436B9" w:rsidRPr="002A193B" w:rsidRDefault="00F436B9" w:rsidP="002A193B">
            <w:pPr>
              <w:tabs>
                <w:tab w:val="left" w:pos="567"/>
              </w:tabs>
              <w:rPr>
                <w:sz w:val="20"/>
                <w:szCs w:val="20"/>
              </w:rPr>
            </w:pPr>
            <w:proofErr w:type="spellStart"/>
            <w:r w:rsidRPr="002A193B">
              <w:rPr>
                <w:sz w:val="20"/>
                <w:szCs w:val="20"/>
              </w:rPr>
              <w:t>Cvejić</w:t>
            </w:r>
            <w:proofErr w:type="spellEnd"/>
            <w:r w:rsidRPr="002A193B">
              <w:rPr>
                <w:sz w:val="20"/>
                <w:szCs w:val="20"/>
              </w:rPr>
              <w:t xml:space="preserve">, D., </w:t>
            </w:r>
            <w:proofErr w:type="spellStart"/>
            <w:r w:rsidRPr="002A193B">
              <w:rPr>
                <w:sz w:val="20"/>
                <w:szCs w:val="20"/>
              </w:rPr>
              <w:t>Buišić</w:t>
            </w:r>
            <w:proofErr w:type="spellEnd"/>
            <w:r w:rsidRPr="002A193B">
              <w:rPr>
                <w:sz w:val="20"/>
                <w:szCs w:val="20"/>
              </w:rPr>
              <w:t xml:space="preserve">, S., </w:t>
            </w:r>
            <w:proofErr w:type="spellStart"/>
            <w:r w:rsidRPr="002A193B">
              <w:rPr>
                <w:sz w:val="20"/>
                <w:szCs w:val="20"/>
              </w:rPr>
              <w:t>Mitrović</w:t>
            </w:r>
            <w:proofErr w:type="spellEnd"/>
            <w:r w:rsidRPr="002A193B">
              <w:rPr>
                <w:sz w:val="20"/>
                <w:szCs w:val="20"/>
              </w:rPr>
              <w:t xml:space="preserve">, N., &amp; </w:t>
            </w:r>
            <w:proofErr w:type="spellStart"/>
            <w:r w:rsidRPr="002A193B">
              <w:rPr>
                <w:sz w:val="20"/>
                <w:szCs w:val="20"/>
              </w:rPr>
              <w:t>Ostojić</w:t>
            </w:r>
            <w:proofErr w:type="spellEnd"/>
            <w:r w:rsidRPr="002A193B">
              <w:rPr>
                <w:sz w:val="20"/>
                <w:szCs w:val="20"/>
              </w:rPr>
              <w:t xml:space="preserve">, S. (2018). Aerobic activity of students at physical education FITT classes. </w:t>
            </w:r>
            <w:proofErr w:type="spellStart"/>
            <w:r w:rsidRPr="002A193B">
              <w:rPr>
                <w:i/>
                <w:sz w:val="20"/>
                <w:szCs w:val="20"/>
              </w:rPr>
              <w:t>Facta</w:t>
            </w:r>
            <w:proofErr w:type="spellEnd"/>
            <w:r w:rsidRPr="002A193B">
              <w:rPr>
                <w:i/>
                <w:sz w:val="20"/>
                <w:szCs w:val="20"/>
              </w:rPr>
              <w:t xml:space="preserve"> </w:t>
            </w:r>
            <w:proofErr w:type="spellStart"/>
            <w:r w:rsidRPr="002A193B">
              <w:rPr>
                <w:i/>
                <w:sz w:val="20"/>
                <w:szCs w:val="20"/>
              </w:rPr>
              <w:t>Universitatis</w:t>
            </w:r>
            <w:proofErr w:type="spellEnd"/>
            <w:r w:rsidRPr="002A193B">
              <w:rPr>
                <w:i/>
                <w:sz w:val="20"/>
                <w:szCs w:val="20"/>
              </w:rPr>
              <w:t>, Series: Physical Education and Sport</w:t>
            </w:r>
            <w:r w:rsidRPr="002A193B">
              <w:rPr>
                <w:sz w:val="20"/>
                <w:szCs w:val="20"/>
              </w:rPr>
              <w:t>,</w:t>
            </w:r>
            <w:r w:rsidR="002A193B" w:rsidRPr="002A193B">
              <w:rPr>
                <w:sz w:val="20"/>
                <w:szCs w:val="20"/>
              </w:rPr>
              <w:t xml:space="preserve"> </w:t>
            </w:r>
            <w:r w:rsidR="002A193B" w:rsidRPr="002A193B">
              <w:rPr>
                <w:i/>
                <w:sz w:val="20"/>
                <w:szCs w:val="20"/>
              </w:rPr>
              <w:t>16</w:t>
            </w:r>
            <w:r w:rsidRPr="002A193B">
              <w:rPr>
                <w:sz w:val="20"/>
                <w:szCs w:val="20"/>
              </w:rPr>
              <w:t>(</w:t>
            </w:r>
            <w:r w:rsidR="002A193B" w:rsidRPr="002A193B">
              <w:rPr>
                <w:sz w:val="20"/>
                <w:szCs w:val="20"/>
              </w:rPr>
              <w:t>3</w:t>
            </w:r>
            <w:r w:rsidRPr="002A193B">
              <w:rPr>
                <w:sz w:val="20"/>
                <w:szCs w:val="20"/>
              </w:rPr>
              <w:t>)</w:t>
            </w:r>
            <w:r w:rsidR="002A193B" w:rsidRPr="002A193B">
              <w:rPr>
                <w:sz w:val="20"/>
                <w:szCs w:val="20"/>
              </w:rPr>
              <w:t>, 515-524</w:t>
            </w:r>
            <w:r w:rsidRPr="002A193B">
              <w:rPr>
                <w:sz w:val="20"/>
                <w:szCs w:val="20"/>
              </w:rPr>
              <w:t>.</w:t>
            </w:r>
          </w:p>
        </w:tc>
        <w:tc>
          <w:tcPr>
            <w:tcW w:w="795" w:type="dxa"/>
            <w:vAlign w:val="center"/>
          </w:tcPr>
          <w:p w:rsidR="00F436B9" w:rsidRPr="00F436B9" w:rsidRDefault="00F436B9" w:rsidP="00F436B9">
            <w:pPr>
              <w:tabs>
                <w:tab w:val="left" w:pos="567"/>
              </w:tabs>
              <w:jc w:val="center"/>
              <w:rPr>
                <w:sz w:val="20"/>
                <w:szCs w:val="20"/>
                <w:lang w:val="sr-Cyrl-CS"/>
              </w:rPr>
            </w:pPr>
            <w:r w:rsidRPr="00F436B9">
              <w:rPr>
                <w:sz w:val="20"/>
                <w:szCs w:val="20"/>
                <w:lang w:val="sr-Cyrl-CS"/>
              </w:rPr>
              <w:t>М24</w:t>
            </w:r>
          </w:p>
        </w:tc>
      </w:tr>
      <w:tr w:rsidR="00805E54" w:rsidRPr="00F436B9" w:rsidTr="00B85A64">
        <w:trPr>
          <w:trHeight w:val="227"/>
        </w:trPr>
        <w:tc>
          <w:tcPr>
            <w:tcW w:w="567" w:type="dxa"/>
            <w:vAlign w:val="center"/>
          </w:tcPr>
          <w:p w:rsidR="00805E54" w:rsidRPr="00F436B9" w:rsidRDefault="00805E54" w:rsidP="00805E54">
            <w:pPr>
              <w:tabs>
                <w:tab w:val="left" w:pos="567"/>
              </w:tabs>
              <w:rPr>
                <w:sz w:val="20"/>
                <w:szCs w:val="20"/>
                <w:lang w:val="sr-Latn-RS"/>
              </w:rPr>
            </w:pPr>
            <w:r w:rsidRPr="00F436B9">
              <w:rPr>
                <w:sz w:val="20"/>
                <w:szCs w:val="20"/>
                <w:lang w:val="sr-Latn-RS"/>
              </w:rPr>
              <w:t>10.</w:t>
            </w:r>
          </w:p>
        </w:tc>
        <w:tc>
          <w:tcPr>
            <w:tcW w:w="8703" w:type="dxa"/>
            <w:gridSpan w:val="9"/>
            <w:shd w:val="clear" w:color="auto" w:fill="auto"/>
            <w:vAlign w:val="center"/>
          </w:tcPr>
          <w:p w:rsidR="00805E54" w:rsidRPr="00A34410" w:rsidRDefault="00805E54" w:rsidP="00805E54">
            <w:pPr>
              <w:rPr>
                <w:rFonts w:eastAsia="Times New Roman"/>
                <w:sz w:val="18"/>
                <w:szCs w:val="18"/>
                <w:lang w:val="sr-Latn-CS" w:eastAsia="sr-Latn-CS"/>
              </w:rPr>
            </w:pPr>
            <w:r w:rsidRPr="00A34410">
              <w:rPr>
                <w:rFonts w:eastAsia="Times New Roman"/>
                <w:sz w:val="18"/>
                <w:szCs w:val="18"/>
                <w:lang w:val="sr-Latn-CS" w:eastAsia="sr-Latn-CS"/>
              </w:rPr>
              <w:t xml:space="preserve">Buišić, S., </w:t>
            </w:r>
            <w:r w:rsidRPr="00A34410">
              <w:rPr>
                <w:rFonts w:eastAsia="Times New Roman"/>
                <w:b/>
                <w:sz w:val="18"/>
                <w:szCs w:val="18"/>
                <w:lang w:val="sr-Latn-CS" w:eastAsia="sr-Latn-CS"/>
              </w:rPr>
              <w:t>Cvejić, D</w:t>
            </w:r>
            <w:r w:rsidRPr="00A34410">
              <w:rPr>
                <w:rFonts w:eastAsia="Times New Roman"/>
                <w:sz w:val="18"/>
                <w:szCs w:val="18"/>
                <w:lang w:val="sr-Latn-CS" w:eastAsia="sr-Latn-CS"/>
              </w:rPr>
              <w:t xml:space="preserve">. &amp; Pejović T. (2019). Aspekti self-koncepta učenika mlađeg školskog uzrasta kao važni faktori za aktivno učestvovanje u nastavi fizičkog vaspitanja. </w:t>
            </w:r>
            <w:r w:rsidRPr="00A34410">
              <w:rPr>
                <w:rFonts w:eastAsia="Times New Roman"/>
                <w:i/>
                <w:sz w:val="18"/>
                <w:szCs w:val="18"/>
                <w:lang w:val="sr-Latn-CS" w:eastAsia="sr-Latn-CS"/>
              </w:rPr>
              <w:t>Teme (in print).</w:t>
            </w:r>
          </w:p>
        </w:tc>
        <w:tc>
          <w:tcPr>
            <w:tcW w:w="795" w:type="dxa"/>
            <w:vAlign w:val="center"/>
          </w:tcPr>
          <w:p w:rsidR="00805E54" w:rsidRPr="00F436B9" w:rsidRDefault="00805E54" w:rsidP="00805E54">
            <w:pPr>
              <w:tabs>
                <w:tab w:val="left" w:pos="567"/>
              </w:tabs>
              <w:jc w:val="center"/>
              <w:rPr>
                <w:sz w:val="20"/>
                <w:szCs w:val="20"/>
                <w:lang w:val="sr-Latn-RS"/>
              </w:rPr>
            </w:pPr>
            <w:r w:rsidRPr="00F436B9">
              <w:rPr>
                <w:sz w:val="20"/>
                <w:szCs w:val="20"/>
                <w:lang w:val="sr-Latn-RS"/>
              </w:rPr>
              <w:t>M</w:t>
            </w:r>
            <w:r>
              <w:rPr>
                <w:sz w:val="20"/>
                <w:szCs w:val="20"/>
                <w:lang w:val="sr-Latn-RS"/>
              </w:rPr>
              <w:t>2</w:t>
            </w:r>
            <w:bookmarkStart w:id="11" w:name="_GoBack"/>
            <w:bookmarkEnd w:id="11"/>
            <w:r w:rsidRPr="00F436B9">
              <w:rPr>
                <w:sz w:val="20"/>
                <w:szCs w:val="20"/>
                <w:lang w:val="sr-Latn-RS"/>
              </w:rPr>
              <w:t>4</w:t>
            </w:r>
          </w:p>
        </w:tc>
      </w:tr>
      <w:tr w:rsidR="00805E54" w:rsidRPr="00F436B9" w:rsidTr="002B42F1">
        <w:tc>
          <w:tcPr>
            <w:tcW w:w="10065" w:type="dxa"/>
            <w:gridSpan w:val="11"/>
            <w:vAlign w:val="center"/>
          </w:tcPr>
          <w:p w:rsidR="00805E54" w:rsidRPr="00F436B9" w:rsidRDefault="00805E54" w:rsidP="00805E54">
            <w:pPr>
              <w:tabs>
                <w:tab w:val="left" w:pos="567"/>
              </w:tabs>
              <w:spacing w:after="60"/>
              <w:rPr>
                <w:sz w:val="20"/>
                <w:szCs w:val="20"/>
                <w:lang w:val="sr-Cyrl-CS"/>
              </w:rPr>
            </w:pPr>
            <w:r w:rsidRPr="00F436B9">
              <w:rPr>
                <w:b/>
                <w:sz w:val="20"/>
                <w:szCs w:val="20"/>
                <w:lang w:val="sr-Cyrl-CS"/>
              </w:rPr>
              <w:t>Збирни подаци научне активност наставника</w:t>
            </w:r>
          </w:p>
        </w:tc>
      </w:tr>
      <w:tr w:rsidR="00805E54" w:rsidRPr="00F436B9" w:rsidTr="002B42F1">
        <w:tc>
          <w:tcPr>
            <w:tcW w:w="4118" w:type="dxa"/>
            <w:gridSpan w:val="5"/>
            <w:vAlign w:val="center"/>
          </w:tcPr>
          <w:p w:rsidR="00805E54" w:rsidRPr="00F436B9" w:rsidRDefault="00805E54" w:rsidP="00805E54">
            <w:pPr>
              <w:tabs>
                <w:tab w:val="left" w:pos="567"/>
              </w:tabs>
              <w:spacing w:after="60"/>
              <w:rPr>
                <w:sz w:val="20"/>
                <w:szCs w:val="20"/>
                <w:lang w:val="sr-Cyrl-CS"/>
              </w:rPr>
            </w:pPr>
            <w:r w:rsidRPr="00F436B9">
              <w:rPr>
                <w:sz w:val="20"/>
                <w:szCs w:val="20"/>
                <w:lang w:val="sr-Cyrl-CS"/>
              </w:rPr>
              <w:t>Укупан број цитата, без аутоцитата</w:t>
            </w:r>
          </w:p>
        </w:tc>
        <w:tc>
          <w:tcPr>
            <w:tcW w:w="5947" w:type="dxa"/>
            <w:gridSpan w:val="6"/>
            <w:vAlign w:val="center"/>
          </w:tcPr>
          <w:p w:rsidR="00805E54" w:rsidRPr="002A193B" w:rsidRDefault="00805E54" w:rsidP="00805E54">
            <w:pPr>
              <w:tabs>
                <w:tab w:val="left" w:pos="567"/>
              </w:tabs>
              <w:spacing w:after="60"/>
              <w:rPr>
                <w:sz w:val="20"/>
                <w:szCs w:val="20"/>
                <w:lang w:val="sr-Latn-RS"/>
              </w:rPr>
            </w:pPr>
            <w:r>
              <w:rPr>
                <w:sz w:val="20"/>
                <w:szCs w:val="20"/>
                <w:lang w:val="sr-Latn-RS"/>
              </w:rPr>
              <w:t>54</w:t>
            </w:r>
          </w:p>
        </w:tc>
      </w:tr>
      <w:tr w:rsidR="00805E54" w:rsidRPr="00F436B9" w:rsidTr="002B42F1">
        <w:tc>
          <w:tcPr>
            <w:tcW w:w="4118" w:type="dxa"/>
            <w:gridSpan w:val="5"/>
            <w:vAlign w:val="center"/>
          </w:tcPr>
          <w:p w:rsidR="00805E54" w:rsidRPr="00F436B9" w:rsidRDefault="00805E54" w:rsidP="00805E54">
            <w:pPr>
              <w:tabs>
                <w:tab w:val="left" w:pos="567"/>
              </w:tabs>
              <w:spacing w:after="60"/>
              <w:rPr>
                <w:sz w:val="20"/>
                <w:szCs w:val="20"/>
                <w:lang w:val="sr-Cyrl-CS"/>
              </w:rPr>
            </w:pPr>
            <w:r w:rsidRPr="00F436B9">
              <w:rPr>
                <w:sz w:val="20"/>
                <w:szCs w:val="20"/>
                <w:lang w:val="sr-Cyrl-CS"/>
              </w:rPr>
              <w:t>Укупан број радова са SCI (или SSCI) листе</w:t>
            </w:r>
          </w:p>
        </w:tc>
        <w:tc>
          <w:tcPr>
            <w:tcW w:w="5947" w:type="dxa"/>
            <w:gridSpan w:val="6"/>
            <w:vAlign w:val="center"/>
          </w:tcPr>
          <w:p w:rsidR="00805E54" w:rsidRPr="002A193B" w:rsidRDefault="00805E54" w:rsidP="00805E54">
            <w:pPr>
              <w:tabs>
                <w:tab w:val="left" w:pos="567"/>
              </w:tabs>
              <w:spacing w:after="60"/>
              <w:rPr>
                <w:sz w:val="20"/>
                <w:szCs w:val="20"/>
                <w:lang w:val="sr-Latn-RS"/>
              </w:rPr>
            </w:pPr>
          </w:p>
        </w:tc>
      </w:tr>
      <w:tr w:rsidR="00805E54" w:rsidRPr="00F436B9" w:rsidTr="002B42F1">
        <w:tc>
          <w:tcPr>
            <w:tcW w:w="4118" w:type="dxa"/>
            <w:gridSpan w:val="5"/>
            <w:vAlign w:val="center"/>
          </w:tcPr>
          <w:p w:rsidR="00805E54" w:rsidRPr="00F436B9" w:rsidRDefault="00805E54" w:rsidP="00805E54">
            <w:pPr>
              <w:tabs>
                <w:tab w:val="left" w:pos="567"/>
              </w:tabs>
              <w:spacing w:after="60"/>
              <w:rPr>
                <w:sz w:val="20"/>
                <w:szCs w:val="20"/>
                <w:lang w:val="sr-Cyrl-CS"/>
              </w:rPr>
            </w:pPr>
            <w:r w:rsidRPr="00F436B9">
              <w:rPr>
                <w:sz w:val="20"/>
                <w:szCs w:val="20"/>
                <w:lang w:val="sr-Cyrl-CS"/>
              </w:rPr>
              <w:t>Тренутно учешће на пројектима</w:t>
            </w:r>
          </w:p>
        </w:tc>
        <w:tc>
          <w:tcPr>
            <w:tcW w:w="2334" w:type="dxa"/>
            <w:gridSpan w:val="2"/>
            <w:vAlign w:val="center"/>
          </w:tcPr>
          <w:p w:rsidR="00805E54" w:rsidRPr="00F436B9" w:rsidRDefault="00805E54" w:rsidP="00805E54">
            <w:pPr>
              <w:tabs>
                <w:tab w:val="left" w:pos="567"/>
              </w:tabs>
              <w:spacing w:after="60"/>
              <w:rPr>
                <w:sz w:val="20"/>
                <w:szCs w:val="20"/>
                <w:lang w:val="sr-Cyrl-CS"/>
              </w:rPr>
            </w:pPr>
            <w:r w:rsidRPr="00F436B9">
              <w:rPr>
                <w:sz w:val="20"/>
                <w:szCs w:val="20"/>
                <w:lang w:val="sr-Cyrl-CS"/>
              </w:rPr>
              <w:t xml:space="preserve">Домаћи: </w:t>
            </w:r>
            <w:r>
              <w:rPr>
                <w:sz w:val="20"/>
                <w:szCs w:val="20"/>
                <w:lang w:val="sr-Cyrl-CS"/>
              </w:rPr>
              <w:t>1</w:t>
            </w:r>
          </w:p>
        </w:tc>
        <w:tc>
          <w:tcPr>
            <w:tcW w:w="3613" w:type="dxa"/>
            <w:gridSpan w:val="4"/>
            <w:vAlign w:val="center"/>
          </w:tcPr>
          <w:p w:rsidR="00805E54" w:rsidRPr="00F436B9" w:rsidRDefault="00805E54" w:rsidP="00805E54">
            <w:pPr>
              <w:tabs>
                <w:tab w:val="left" w:pos="567"/>
              </w:tabs>
              <w:spacing w:after="60"/>
              <w:rPr>
                <w:sz w:val="20"/>
                <w:szCs w:val="20"/>
                <w:lang w:val="sr-Cyrl-CS"/>
              </w:rPr>
            </w:pPr>
            <w:r w:rsidRPr="00F436B9">
              <w:rPr>
                <w:sz w:val="20"/>
                <w:szCs w:val="20"/>
                <w:lang w:val="sr-Cyrl-CS"/>
              </w:rPr>
              <w:t xml:space="preserve">Међународни: </w:t>
            </w:r>
          </w:p>
        </w:tc>
      </w:tr>
      <w:tr w:rsidR="00805E54" w:rsidRPr="00F436B9" w:rsidTr="002B42F1">
        <w:tc>
          <w:tcPr>
            <w:tcW w:w="4118" w:type="dxa"/>
            <w:gridSpan w:val="5"/>
            <w:vAlign w:val="center"/>
          </w:tcPr>
          <w:p w:rsidR="00805E54" w:rsidRPr="00F436B9" w:rsidRDefault="00805E54" w:rsidP="00805E54">
            <w:pPr>
              <w:tabs>
                <w:tab w:val="left" w:pos="567"/>
              </w:tabs>
              <w:spacing w:after="60"/>
              <w:rPr>
                <w:sz w:val="20"/>
                <w:szCs w:val="20"/>
                <w:lang w:val="sr-Cyrl-CS"/>
              </w:rPr>
            </w:pPr>
            <w:r w:rsidRPr="00F436B9">
              <w:rPr>
                <w:sz w:val="20"/>
                <w:szCs w:val="20"/>
                <w:lang w:val="sr-Cyrl-CS"/>
              </w:rPr>
              <w:t xml:space="preserve">Усавршавања </w:t>
            </w:r>
          </w:p>
        </w:tc>
        <w:tc>
          <w:tcPr>
            <w:tcW w:w="5947" w:type="dxa"/>
            <w:gridSpan w:val="6"/>
            <w:vAlign w:val="center"/>
          </w:tcPr>
          <w:p w:rsidR="00805E54" w:rsidRPr="00F436B9" w:rsidRDefault="00805E54" w:rsidP="00805E54">
            <w:pPr>
              <w:tabs>
                <w:tab w:val="left" w:pos="567"/>
              </w:tabs>
              <w:spacing w:after="60"/>
              <w:rPr>
                <w:sz w:val="20"/>
                <w:szCs w:val="20"/>
                <w:lang w:val="sr-Cyrl-CS"/>
              </w:rPr>
            </w:pPr>
          </w:p>
        </w:tc>
      </w:tr>
      <w:tr w:rsidR="00805E54" w:rsidRPr="00F436B9" w:rsidTr="002B42F1">
        <w:tc>
          <w:tcPr>
            <w:tcW w:w="10065" w:type="dxa"/>
            <w:gridSpan w:val="11"/>
            <w:vAlign w:val="center"/>
          </w:tcPr>
          <w:p w:rsidR="00805E54" w:rsidRPr="00F436B9" w:rsidRDefault="00805E54" w:rsidP="00805E54">
            <w:pPr>
              <w:tabs>
                <w:tab w:val="left" w:pos="567"/>
              </w:tabs>
              <w:spacing w:after="60"/>
              <w:rPr>
                <w:sz w:val="20"/>
                <w:szCs w:val="20"/>
                <w:lang w:val="sr-Cyrl-RS"/>
              </w:rPr>
            </w:pPr>
            <w:r w:rsidRPr="00F436B9">
              <w:rPr>
                <w:sz w:val="20"/>
                <w:szCs w:val="20"/>
                <w:lang w:val="sr-Cyrl-CS"/>
              </w:rPr>
              <w:t>Други подаци које сматрате релевантним:</w:t>
            </w:r>
            <w:r>
              <w:rPr>
                <w:sz w:val="20"/>
                <w:szCs w:val="20"/>
                <w:lang w:val="sr-Latn-RS"/>
              </w:rPr>
              <w:t xml:space="preserve">                                                                  </w:t>
            </w:r>
            <w:r>
              <w:rPr>
                <w:rFonts w:eastAsia="Times New Roman"/>
                <w:sz w:val="20"/>
                <w:szCs w:val="20"/>
                <w:lang w:val="sr-Cyrl-CS" w:eastAsia="sr-Latn-CS"/>
              </w:rPr>
              <w:t xml:space="preserve">  </w:t>
            </w:r>
            <w:r>
              <w:rPr>
                <w:rFonts w:eastAsia="Times New Roman"/>
                <w:sz w:val="20"/>
                <w:szCs w:val="20"/>
                <w:lang w:val="sr-Latn-RS" w:eastAsia="sr-Latn-CS"/>
              </w:rPr>
              <w:t xml:space="preserve">                                       </w:t>
            </w:r>
            <w:hyperlink w:anchor="Компетентност" w:history="1">
              <w:r w:rsidRPr="009625A2">
                <w:rPr>
                  <w:rStyle w:val="Hyperlink"/>
                  <w:rFonts w:eastAsia="Times New Roman"/>
                  <w:sz w:val="20"/>
                  <w:szCs w:val="20"/>
                  <w:lang w:val="sr-Cyrl-CS" w:eastAsia="sr-Latn-CS"/>
                </w:rPr>
                <w:t>почетак</w:t>
              </w:r>
            </w:hyperlink>
            <w:r w:rsidRPr="00F436B9">
              <w:rPr>
                <w:sz w:val="20"/>
                <w:szCs w:val="20"/>
                <w:lang w:val="sr-Cyrl-RS"/>
              </w:rPr>
              <w:t xml:space="preserve"> </w:t>
            </w:r>
          </w:p>
        </w:tc>
      </w:tr>
    </w:tbl>
    <w:p w:rsidR="00E42587" w:rsidRPr="00F436B9" w:rsidRDefault="00E42587" w:rsidP="00E36EE2">
      <w:pPr>
        <w:rPr>
          <w:sz w:val="20"/>
          <w:szCs w:val="20"/>
          <w:lang w:val="sr-Cyrl-RS"/>
        </w:rPr>
      </w:pPr>
    </w:p>
    <w:p w:rsidR="00E42587" w:rsidRPr="00F436B9" w:rsidRDefault="00E42587" w:rsidP="00E36EE2">
      <w:pPr>
        <w:rPr>
          <w:sz w:val="20"/>
          <w:szCs w:val="20"/>
        </w:rPr>
      </w:pPr>
    </w:p>
    <w:p w:rsidR="0055518D" w:rsidRPr="00F436B9" w:rsidRDefault="0055518D" w:rsidP="00E36EE2">
      <w:pPr>
        <w:rPr>
          <w:sz w:val="20"/>
          <w:szCs w:val="20"/>
        </w:rPr>
      </w:pPr>
    </w:p>
    <w:p w:rsidR="0055518D" w:rsidRPr="00F436B9" w:rsidRDefault="0055518D" w:rsidP="00E36EE2">
      <w:pPr>
        <w:rPr>
          <w:sz w:val="20"/>
          <w:szCs w:val="20"/>
        </w:rPr>
      </w:pPr>
    </w:p>
    <w:p w:rsidR="0055518D" w:rsidRPr="00F436B9" w:rsidRDefault="0055518D" w:rsidP="00E36EE2">
      <w:pPr>
        <w:rPr>
          <w:sz w:val="20"/>
          <w:szCs w:val="20"/>
        </w:rPr>
      </w:pPr>
    </w:p>
    <w:p w:rsidR="0055518D" w:rsidRPr="00F436B9" w:rsidRDefault="0055518D" w:rsidP="00E36EE2">
      <w:pPr>
        <w:rPr>
          <w:sz w:val="20"/>
          <w:szCs w:val="20"/>
        </w:rPr>
      </w:pPr>
    </w:p>
    <w:p w:rsidR="0055518D" w:rsidRDefault="0055518D" w:rsidP="00E36EE2">
      <w:pPr>
        <w:rPr>
          <w:sz w:val="20"/>
          <w:szCs w:val="20"/>
        </w:rPr>
      </w:pPr>
    </w:p>
    <w:p w:rsidR="0055518D" w:rsidRDefault="0055518D" w:rsidP="00E36EE2">
      <w:pPr>
        <w:rPr>
          <w:sz w:val="20"/>
          <w:szCs w:val="20"/>
        </w:rPr>
      </w:pPr>
    </w:p>
    <w:p w:rsidR="0055518D" w:rsidRDefault="0055518D" w:rsidP="00E36EE2">
      <w:pPr>
        <w:rPr>
          <w:sz w:val="20"/>
          <w:szCs w:val="20"/>
        </w:rPr>
      </w:pPr>
    </w:p>
    <w:p w:rsidR="0055518D" w:rsidRDefault="0055518D" w:rsidP="00E36EE2">
      <w:pPr>
        <w:rPr>
          <w:sz w:val="20"/>
          <w:szCs w:val="20"/>
        </w:rPr>
      </w:pPr>
    </w:p>
    <w:p w:rsidR="0055518D" w:rsidRDefault="0055518D" w:rsidP="00E36EE2">
      <w:pPr>
        <w:rPr>
          <w:sz w:val="20"/>
          <w:szCs w:val="20"/>
        </w:rPr>
      </w:pPr>
    </w:p>
    <w:p w:rsidR="0055518D" w:rsidRPr="0055518D" w:rsidRDefault="0055518D" w:rsidP="00E36EE2">
      <w:pPr>
        <w:rPr>
          <w:sz w:val="20"/>
          <w:szCs w:val="20"/>
        </w:rPr>
      </w:pPr>
    </w:p>
    <w:sectPr w:rsidR="0055518D" w:rsidRPr="0055518D" w:rsidSect="00DB7022">
      <w:pgSz w:w="11907" w:h="16839" w:code="9"/>
      <w:pgMar w:top="1008" w:right="1008" w:bottom="100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E3458CB"/>
    <w:multiLevelType w:val="hybridMultilevel"/>
    <w:tmpl w:val="A636D104"/>
    <w:lvl w:ilvl="0" w:tplc="1FB859F6">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3107C9"/>
    <w:multiLevelType w:val="hybridMultilevel"/>
    <w:tmpl w:val="C3D09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44DF6"/>
    <w:multiLevelType w:val="hybridMultilevel"/>
    <w:tmpl w:val="05980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F0F0D"/>
    <w:multiLevelType w:val="multilevel"/>
    <w:tmpl w:val="34BC5B9E"/>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66D6676D"/>
    <w:multiLevelType w:val="hybridMultilevel"/>
    <w:tmpl w:val="40C66D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0"/>
    <w:lvlOverride w:ilvl="0">
      <w:startOverride w:val="1"/>
    </w:lvlOverride>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04"/>
    <w:rsid w:val="00016E0D"/>
    <w:rsid w:val="000538EE"/>
    <w:rsid w:val="000E3FEC"/>
    <w:rsid w:val="0011765E"/>
    <w:rsid w:val="00133A1B"/>
    <w:rsid w:val="00160DC9"/>
    <w:rsid w:val="00191CD7"/>
    <w:rsid w:val="0019777D"/>
    <w:rsid w:val="001C5832"/>
    <w:rsid w:val="001E1117"/>
    <w:rsid w:val="00230745"/>
    <w:rsid w:val="002351C4"/>
    <w:rsid w:val="00270BCC"/>
    <w:rsid w:val="002755B0"/>
    <w:rsid w:val="002A193B"/>
    <w:rsid w:val="002A5DED"/>
    <w:rsid w:val="002B42F1"/>
    <w:rsid w:val="002F653F"/>
    <w:rsid w:val="00327E04"/>
    <w:rsid w:val="00345A76"/>
    <w:rsid w:val="00362AD4"/>
    <w:rsid w:val="003825DF"/>
    <w:rsid w:val="003972E1"/>
    <w:rsid w:val="003D33BD"/>
    <w:rsid w:val="003E6895"/>
    <w:rsid w:val="00432E04"/>
    <w:rsid w:val="00437C46"/>
    <w:rsid w:val="004B0977"/>
    <w:rsid w:val="00553688"/>
    <w:rsid w:val="0055518D"/>
    <w:rsid w:val="00565E73"/>
    <w:rsid w:val="00616F77"/>
    <w:rsid w:val="00671245"/>
    <w:rsid w:val="0067394D"/>
    <w:rsid w:val="006E628A"/>
    <w:rsid w:val="006F31C2"/>
    <w:rsid w:val="007047C2"/>
    <w:rsid w:val="0075754E"/>
    <w:rsid w:val="007B2073"/>
    <w:rsid w:val="00805E54"/>
    <w:rsid w:val="00841425"/>
    <w:rsid w:val="00856466"/>
    <w:rsid w:val="008A163A"/>
    <w:rsid w:val="008B52E6"/>
    <w:rsid w:val="00914094"/>
    <w:rsid w:val="00934B96"/>
    <w:rsid w:val="009625A2"/>
    <w:rsid w:val="009677CD"/>
    <w:rsid w:val="009945E2"/>
    <w:rsid w:val="00A473B2"/>
    <w:rsid w:val="00A6254D"/>
    <w:rsid w:val="00A66292"/>
    <w:rsid w:val="00AD3627"/>
    <w:rsid w:val="00B12C56"/>
    <w:rsid w:val="00B34E9F"/>
    <w:rsid w:val="00B443F6"/>
    <w:rsid w:val="00B551D8"/>
    <w:rsid w:val="00B85A64"/>
    <w:rsid w:val="00BC20BA"/>
    <w:rsid w:val="00BD7EC7"/>
    <w:rsid w:val="00C641BA"/>
    <w:rsid w:val="00C654F0"/>
    <w:rsid w:val="00CD58F8"/>
    <w:rsid w:val="00CE5358"/>
    <w:rsid w:val="00D07BC4"/>
    <w:rsid w:val="00D24987"/>
    <w:rsid w:val="00DB3F7A"/>
    <w:rsid w:val="00DB7022"/>
    <w:rsid w:val="00DC4F6E"/>
    <w:rsid w:val="00DF454B"/>
    <w:rsid w:val="00E03813"/>
    <w:rsid w:val="00E15503"/>
    <w:rsid w:val="00E36EE2"/>
    <w:rsid w:val="00E42587"/>
    <w:rsid w:val="00E6459E"/>
    <w:rsid w:val="00EC4A5B"/>
    <w:rsid w:val="00EF62AC"/>
    <w:rsid w:val="00F25B3D"/>
    <w:rsid w:val="00F33F2E"/>
    <w:rsid w:val="00F436B9"/>
    <w:rsid w:val="00F44AEF"/>
    <w:rsid w:val="00F50A4E"/>
    <w:rsid w:val="00FC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3B9004"/>
  <w15:docId w15:val="{F1DA5475-681E-47BE-964A-00F4D1DA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04"/>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7E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27E04"/>
    <w:rPr>
      <w:rFonts w:cs="Times New Roman"/>
      <w:color w:val="0000FF"/>
      <w:u w:val="single"/>
    </w:rPr>
  </w:style>
  <w:style w:type="paragraph" w:styleId="ListParagraph">
    <w:name w:val="List Paragraph"/>
    <w:basedOn w:val="Normal"/>
    <w:uiPriority w:val="34"/>
    <w:qFormat/>
    <w:rsid w:val="00327E04"/>
    <w:pPr>
      <w:ind w:left="720"/>
    </w:pPr>
    <w:rPr>
      <w:rFonts w:ascii="Calibri" w:hAnsi="Calibri"/>
      <w:sz w:val="22"/>
      <w:szCs w:val="22"/>
    </w:rPr>
  </w:style>
  <w:style w:type="character" w:customStyle="1" w:styleId="jrnl">
    <w:name w:val="jrnl"/>
    <w:rsid w:val="00D07BC4"/>
    <w:rPr>
      <w:rFonts w:cs="Times New Roman"/>
    </w:rPr>
  </w:style>
  <w:style w:type="character" w:customStyle="1" w:styleId="apple-style-span">
    <w:name w:val="apple-style-span"/>
    <w:rsid w:val="00D07BC4"/>
    <w:rPr>
      <w:rFonts w:cs="Times New Roman"/>
    </w:rPr>
  </w:style>
  <w:style w:type="character" w:customStyle="1" w:styleId="apple-converted-space">
    <w:name w:val="apple-converted-space"/>
    <w:rsid w:val="00D07BC4"/>
    <w:rPr>
      <w:rFonts w:cs="Times New Roman"/>
    </w:rPr>
  </w:style>
  <w:style w:type="paragraph" w:customStyle="1" w:styleId="Textbody">
    <w:name w:val="Text body"/>
    <w:basedOn w:val="Normal"/>
    <w:rsid w:val="00D07BC4"/>
    <w:pPr>
      <w:tabs>
        <w:tab w:val="left" w:pos="720"/>
      </w:tabs>
      <w:suppressAutoHyphens/>
      <w:spacing w:after="120" w:line="276" w:lineRule="auto"/>
    </w:pPr>
  </w:style>
  <w:style w:type="character" w:styleId="Emphasis">
    <w:name w:val="Emphasis"/>
    <w:qFormat/>
    <w:locked/>
    <w:rsid w:val="00D07BC4"/>
    <w:rPr>
      <w:i/>
    </w:rPr>
  </w:style>
  <w:style w:type="paragraph" w:customStyle="1" w:styleId="desc">
    <w:name w:val="desc"/>
    <w:basedOn w:val="Normal"/>
    <w:uiPriority w:val="99"/>
    <w:rsid w:val="000E3FEC"/>
    <w:pPr>
      <w:spacing w:before="100" w:beforeAutospacing="1" w:after="100" w:afterAutospacing="1"/>
    </w:pPr>
    <w:rPr>
      <w:rFonts w:eastAsia="Times New Roman"/>
    </w:rPr>
  </w:style>
  <w:style w:type="character" w:customStyle="1" w:styleId="st">
    <w:name w:val="st"/>
    <w:uiPriority w:val="99"/>
    <w:rsid w:val="000E3FEC"/>
  </w:style>
  <w:style w:type="character" w:customStyle="1" w:styleId="hps">
    <w:name w:val="hps"/>
    <w:basedOn w:val="DefaultParagraphFont"/>
    <w:rsid w:val="00671245"/>
  </w:style>
  <w:style w:type="paragraph" w:styleId="NoSpacing">
    <w:name w:val="No Spacing"/>
    <w:uiPriority w:val="1"/>
    <w:qFormat/>
    <w:rsid w:val="00E36EE2"/>
    <w:rPr>
      <w:rFonts w:ascii="Times New Roman" w:hAnsi="Times New Roman"/>
      <w:sz w:val="24"/>
      <w:szCs w:val="24"/>
    </w:rPr>
  </w:style>
  <w:style w:type="character" w:styleId="FollowedHyperlink">
    <w:name w:val="FollowedHyperlink"/>
    <w:rsid w:val="00DC4F6E"/>
    <w:rPr>
      <w:color w:val="800080"/>
      <w:u w:val="single"/>
    </w:rPr>
  </w:style>
  <w:style w:type="character" w:customStyle="1" w:styleId="tlid-translation">
    <w:name w:val="tlid-translation"/>
    <w:basedOn w:val="DefaultParagraphFont"/>
    <w:rsid w:val="00F4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38955">
      <w:bodyDiv w:val="1"/>
      <w:marLeft w:val="0"/>
      <w:marRight w:val="0"/>
      <w:marTop w:val="0"/>
      <w:marBottom w:val="0"/>
      <w:divBdr>
        <w:top w:val="none" w:sz="0" w:space="0" w:color="auto"/>
        <w:left w:val="none" w:sz="0" w:space="0" w:color="auto"/>
        <w:bottom w:val="none" w:sz="0" w:space="0" w:color="auto"/>
        <w:right w:val="none" w:sz="0" w:space="0" w:color="auto"/>
      </w:divBdr>
    </w:div>
    <w:div w:id="147479612">
      <w:bodyDiv w:val="1"/>
      <w:marLeft w:val="0"/>
      <w:marRight w:val="0"/>
      <w:marTop w:val="0"/>
      <w:marBottom w:val="0"/>
      <w:divBdr>
        <w:top w:val="none" w:sz="0" w:space="0" w:color="auto"/>
        <w:left w:val="none" w:sz="0" w:space="0" w:color="auto"/>
        <w:bottom w:val="none" w:sz="0" w:space="0" w:color="auto"/>
        <w:right w:val="none" w:sz="0" w:space="0" w:color="auto"/>
      </w:divBdr>
    </w:div>
    <w:div w:id="189152522">
      <w:bodyDiv w:val="1"/>
      <w:marLeft w:val="0"/>
      <w:marRight w:val="0"/>
      <w:marTop w:val="0"/>
      <w:marBottom w:val="0"/>
      <w:divBdr>
        <w:top w:val="none" w:sz="0" w:space="0" w:color="auto"/>
        <w:left w:val="none" w:sz="0" w:space="0" w:color="auto"/>
        <w:bottom w:val="none" w:sz="0" w:space="0" w:color="auto"/>
        <w:right w:val="none" w:sz="0" w:space="0" w:color="auto"/>
      </w:divBdr>
    </w:div>
    <w:div w:id="237253517">
      <w:bodyDiv w:val="1"/>
      <w:marLeft w:val="0"/>
      <w:marRight w:val="0"/>
      <w:marTop w:val="0"/>
      <w:marBottom w:val="0"/>
      <w:divBdr>
        <w:top w:val="none" w:sz="0" w:space="0" w:color="auto"/>
        <w:left w:val="none" w:sz="0" w:space="0" w:color="auto"/>
        <w:bottom w:val="none" w:sz="0" w:space="0" w:color="auto"/>
        <w:right w:val="none" w:sz="0" w:space="0" w:color="auto"/>
      </w:divBdr>
    </w:div>
    <w:div w:id="548684441">
      <w:bodyDiv w:val="1"/>
      <w:marLeft w:val="0"/>
      <w:marRight w:val="0"/>
      <w:marTop w:val="0"/>
      <w:marBottom w:val="0"/>
      <w:divBdr>
        <w:top w:val="none" w:sz="0" w:space="0" w:color="auto"/>
        <w:left w:val="none" w:sz="0" w:space="0" w:color="auto"/>
        <w:bottom w:val="none" w:sz="0" w:space="0" w:color="auto"/>
        <w:right w:val="none" w:sz="0" w:space="0" w:color="auto"/>
      </w:divBdr>
    </w:div>
    <w:div w:id="623849444">
      <w:bodyDiv w:val="1"/>
      <w:marLeft w:val="0"/>
      <w:marRight w:val="0"/>
      <w:marTop w:val="0"/>
      <w:marBottom w:val="0"/>
      <w:divBdr>
        <w:top w:val="none" w:sz="0" w:space="0" w:color="auto"/>
        <w:left w:val="none" w:sz="0" w:space="0" w:color="auto"/>
        <w:bottom w:val="none" w:sz="0" w:space="0" w:color="auto"/>
        <w:right w:val="none" w:sz="0" w:space="0" w:color="auto"/>
      </w:divBdr>
    </w:div>
    <w:div w:id="798304414">
      <w:bodyDiv w:val="1"/>
      <w:marLeft w:val="0"/>
      <w:marRight w:val="0"/>
      <w:marTop w:val="0"/>
      <w:marBottom w:val="0"/>
      <w:divBdr>
        <w:top w:val="none" w:sz="0" w:space="0" w:color="auto"/>
        <w:left w:val="none" w:sz="0" w:space="0" w:color="auto"/>
        <w:bottom w:val="none" w:sz="0" w:space="0" w:color="auto"/>
        <w:right w:val="none" w:sz="0" w:space="0" w:color="auto"/>
      </w:divBdr>
    </w:div>
    <w:div w:id="1686205431">
      <w:bodyDiv w:val="1"/>
      <w:marLeft w:val="0"/>
      <w:marRight w:val="0"/>
      <w:marTop w:val="0"/>
      <w:marBottom w:val="0"/>
      <w:divBdr>
        <w:top w:val="none" w:sz="0" w:space="0" w:color="auto"/>
        <w:left w:val="none" w:sz="0" w:space="0" w:color="auto"/>
        <w:bottom w:val="none" w:sz="0" w:space="0" w:color="auto"/>
        <w:right w:val="none" w:sz="0" w:space="0" w:color="auto"/>
      </w:divBdr>
    </w:div>
    <w:div w:id="1695111248">
      <w:bodyDiv w:val="1"/>
      <w:marLeft w:val="0"/>
      <w:marRight w:val="0"/>
      <w:marTop w:val="0"/>
      <w:marBottom w:val="0"/>
      <w:divBdr>
        <w:top w:val="none" w:sz="0" w:space="0" w:color="auto"/>
        <w:left w:val="none" w:sz="0" w:space="0" w:color="auto"/>
        <w:bottom w:val="none" w:sz="0" w:space="0" w:color="auto"/>
        <w:right w:val="none" w:sz="0" w:space="0" w:color="auto"/>
      </w:divBdr>
    </w:div>
    <w:div w:id="18147151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prikazi(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2E307-8E96-4A45-9B77-5DC8BEED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16</Pages>
  <Words>5424</Words>
  <Characters>37648</Characters>
  <Application>Microsoft Office Word</Application>
  <DocSecurity>0</DocSecurity>
  <Lines>1711</Lines>
  <Paragraphs>1872</Paragraphs>
  <ScaleCrop>false</ScaleCrop>
  <HeadingPairs>
    <vt:vector size="2" baseType="variant">
      <vt:variant>
        <vt:lpstr>Title</vt:lpstr>
      </vt:variant>
      <vt:variant>
        <vt:i4>1</vt:i4>
      </vt:variant>
    </vt:vector>
  </HeadingPairs>
  <TitlesOfParts>
    <vt:vector size="1" baseType="lpstr">
      <vt:lpstr>Презиме, средње слово, име</vt:lpstr>
    </vt:vector>
  </TitlesOfParts>
  <Company>PEF</Company>
  <LinksUpToDate>false</LinksUpToDate>
  <CharactersWithSpaces>41200</CharactersWithSpaces>
  <SharedDoc>false</SharedDoc>
  <HLinks>
    <vt:vector size="24" baseType="variant">
      <vt:variant>
        <vt:i4>720985</vt:i4>
      </vt:variant>
      <vt:variant>
        <vt:i4>9</vt:i4>
      </vt:variant>
      <vt:variant>
        <vt:i4>0</vt:i4>
      </vt:variant>
      <vt:variant>
        <vt:i4>5</vt:i4>
      </vt:variant>
      <vt:variant>
        <vt:lpwstr>https://www.ncbi.nlm.nih.gov/pubmed/27811390</vt:lpwstr>
      </vt:variant>
      <vt:variant>
        <vt:lpwstr/>
      </vt:variant>
      <vt:variant>
        <vt:i4>196693</vt:i4>
      </vt:variant>
      <vt:variant>
        <vt:i4>6</vt:i4>
      </vt:variant>
      <vt:variant>
        <vt:i4>0</vt:i4>
      </vt:variant>
      <vt:variant>
        <vt:i4>5</vt:i4>
      </vt:variant>
      <vt:variant>
        <vt:lpwstr>https://www.ncbi.nlm.nih.gov/pubmed/29798934</vt:lpwstr>
      </vt:variant>
      <vt:variant>
        <vt:lpwstr/>
      </vt:variant>
      <vt:variant>
        <vt:i4>4980767</vt:i4>
      </vt:variant>
      <vt:variant>
        <vt:i4>3</vt:i4>
      </vt:variant>
      <vt:variant>
        <vt:i4>0</vt:i4>
      </vt:variant>
      <vt:variant>
        <vt:i4>5</vt:i4>
      </vt:variant>
      <vt:variant>
        <vt:lpwstr>https://www.researchgate.net/researcher/53842381_Branislava_Srdjenovic</vt:lpwstr>
      </vt:variant>
      <vt:variant>
        <vt:lpwstr/>
      </vt:variant>
      <vt:variant>
        <vt:i4>7602220</vt:i4>
      </vt:variant>
      <vt:variant>
        <vt:i4>0</vt:i4>
      </vt:variant>
      <vt:variant>
        <vt:i4>0</vt:i4>
      </vt:variant>
      <vt:variant>
        <vt:i4>5</vt:i4>
      </vt:variant>
      <vt:variant>
        <vt:lpwstr>javascript:prikazi(20)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Презиме, средње слово, име</dc:title>
  <dc:creator>Vanja</dc:creator>
  <cp:lastModifiedBy>VladaM</cp:lastModifiedBy>
  <cp:revision>13</cp:revision>
  <cp:lastPrinted>2013-04-28T16:16:00Z</cp:lastPrinted>
  <dcterms:created xsi:type="dcterms:W3CDTF">2019-03-06T09:16:00Z</dcterms:created>
  <dcterms:modified xsi:type="dcterms:W3CDTF">2019-04-08T06:36:00Z</dcterms:modified>
</cp:coreProperties>
</file>